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新魏" w:eastAsia="华文新魏"/>
          <w:color w:val="000000"/>
          <w:sz w:val="48"/>
          <w:szCs w:val="48"/>
        </w:rPr>
      </w:pPr>
    </w:p>
    <w:p>
      <w:pPr>
        <w:spacing w:line="360" w:lineRule="auto"/>
        <w:jc w:val="center"/>
        <w:rPr>
          <w:rFonts w:ascii="Times New Roman" w:hAnsi="Times New Roman" w:eastAsia="华文新魏"/>
          <w:b/>
          <w:color w:val="000000"/>
          <w:sz w:val="48"/>
          <w:szCs w:val="48"/>
        </w:rPr>
      </w:pPr>
      <w:r>
        <w:rPr>
          <w:rFonts w:hint="eastAsia" w:ascii="Times New Roman" w:hAnsi="Times New Roman" w:eastAsia="华文新魏"/>
          <w:b/>
          <w:color w:val="000000"/>
          <w:sz w:val="48"/>
          <w:szCs w:val="48"/>
        </w:rPr>
        <w:t>道真金瑞中心城一期房地产开发建设项目</w:t>
      </w:r>
    </w:p>
    <w:p>
      <w:pPr>
        <w:spacing w:line="360" w:lineRule="auto"/>
        <w:jc w:val="center"/>
        <w:rPr>
          <w:rFonts w:ascii="Times New Roman" w:hAnsi="Times New Roman" w:eastAsia="华文新魏"/>
          <w:b/>
          <w:color w:val="000000"/>
          <w:sz w:val="48"/>
          <w:szCs w:val="48"/>
        </w:rPr>
      </w:pPr>
      <w:r>
        <w:rPr>
          <w:rFonts w:ascii="Times New Roman" w:hAnsi="Times New Roman" w:eastAsia="华文新魏"/>
          <w:b/>
          <w:color w:val="000000"/>
          <w:sz w:val="48"/>
          <w:szCs w:val="48"/>
          <w:lang w:val="zh-CN"/>
        </w:rPr>
        <w:t>竣工环境保护验收监测</w:t>
      </w:r>
      <w:r>
        <w:rPr>
          <w:rFonts w:ascii="Times New Roman" w:hAnsi="Times New Roman" w:eastAsia="华文新魏"/>
          <w:b/>
          <w:color w:val="000000"/>
          <w:sz w:val="48"/>
          <w:szCs w:val="48"/>
        </w:rPr>
        <w:t>报告</w:t>
      </w:r>
      <w:r>
        <w:rPr>
          <w:rFonts w:hint="eastAsia" w:ascii="Times New Roman" w:hAnsi="Times New Roman" w:eastAsia="华文新魏"/>
          <w:b/>
          <w:color w:val="000000"/>
          <w:sz w:val="48"/>
          <w:szCs w:val="48"/>
        </w:rPr>
        <w:t>表</w:t>
      </w:r>
    </w:p>
    <w:p>
      <w:pPr>
        <w:spacing w:line="360" w:lineRule="auto"/>
        <w:jc w:val="center"/>
        <w:rPr>
          <w:rFonts w:ascii="Times New Roman" w:hAnsi="Times New Roman" w:eastAsia="仿宋_GB2312"/>
          <w:color w:val="000000"/>
          <w:sz w:val="28"/>
        </w:rPr>
      </w:pPr>
      <w:r>
        <w:rPr>
          <w:rFonts w:ascii="Times New Roman" w:hAnsi="Times New Roman"/>
          <w:sz w:val="28"/>
          <w:szCs w:val="28"/>
          <w:shd w:val="clear" w:color="FFFFFF" w:fill="D9D9D9"/>
        </w:rPr>
        <w:t>鑫利源字</w:t>
      </w:r>
      <w:r>
        <w:rPr>
          <w:rFonts w:hint="eastAsia" w:ascii="Times New Roman" w:hAnsi="Times New Roman"/>
          <w:sz w:val="28"/>
          <w:szCs w:val="28"/>
          <w:shd w:val="clear" w:color="FFFFFF" w:fill="D9D9D9"/>
        </w:rPr>
        <w:t>【2019】</w:t>
      </w:r>
      <w:r>
        <w:rPr>
          <w:rFonts w:ascii="Times New Roman" w:hAnsi="Times New Roman"/>
          <w:sz w:val="28"/>
          <w:szCs w:val="28"/>
          <w:shd w:val="clear" w:color="FFFFFF" w:fill="D9D9D9"/>
        </w:rPr>
        <w:t>第</w:t>
      </w:r>
      <w:r>
        <w:rPr>
          <w:rFonts w:hint="eastAsia" w:ascii="Times New Roman" w:hAnsi="Times New Roman"/>
          <w:sz w:val="28"/>
          <w:szCs w:val="28"/>
          <w:shd w:val="clear" w:color="FFFFFF" w:fill="D9D9D9"/>
        </w:rPr>
        <w:t>19092402</w:t>
      </w:r>
      <w:r>
        <w:rPr>
          <w:rFonts w:ascii="Times New Roman" w:hAnsi="Times New Roman"/>
          <w:sz w:val="28"/>
          <w:szCs w:val="28"/>
          <w:shd w:val="clear" w:color="FFFFFF" w:fill="D9D9D9"/>
        </w:rPr>
        <w:t>号</w:t>
      </w:r>
    </w:p>
    <w:p>
      <w:pPr>
        <w:jc w:val="center"/>
        <w:rPr>
          <w:rFonts w:ascii="Times New Roman" w:hAnsi="Times New Roman" w:eastAsia="仿宋_GB2312"/>
          <w:color w:val="000000"/>
          <w:sz w:val="28"/>
        </w:rPr>
      </w:pPr>
    </w:p>
    <w:p>
      <w:pPr>
        <w:pStyle w:val="2"/>
        <w:rPr>
          <w:rFonts w:ascii="Times New Roman" w:hAnsi="Times New Roman" w:cs="Times New Roman"/>
        </w:rPr>
      </w:pPr>
    </w:p>
    <w:p>
      <w:pPr>
        <w:jc w:val="center"/>
        <w:rPr>
          <w:rFonts w:ascii="Times New Roman" w:hAnsi="Times New Roman" w:eastAsia="仿宋_GB2312"/>
          <w:color w:val="000000"/>
          <w:sz w:val="28"/>
        </w:rPr>
      </w:pPr>
    </w:p>
    <w:p>
      <w:pPr>
        <w:rPr>
          <w:rFonts w:ascii="Times New Roman" w:hAnsi="Times New Roman" w:eastAsia="华文新魏"/>
          <w:color w:val="000000"/>
          <w:sz w:val="28"/>
          <w:szCs w:val="28"/>
        </w:rPr>
      </w:pPr>
    </w:p>
    <w:tbl>
      <w:tblPr>
        <w:tblStyle w:val="12"/>
        <w:tblW w:w="8522" w:type="dxa"/>
        <w:jc w:val="center"/>
        <w:tblLayout w:type="fixed"/>
        <w:tblCellMar>
          <w:top w:w="0" w:type="dxa"/>
          <w:left w:w="108" w:type="dxa"/>
          <w:bottom w:w="0" w:type="dxa"/>
          <w:right w:w="108" w:type="dxa"/>
        </w:tblCellMar>
      </w:tblPr>
      <w:tblGrid>
        <w:gridCol w:w="1706"/>
        <w:gridCol w:w="6816"/>
      </w:tblGrid>
      <w:tr>
        <w:tblPrEx>
          <w:tblCellMar>
            <w:top w:w="0" w:type="dxa"/>
            <w:left w:w="108" w:type="dxa"/>
            <w:bottom w:w="0" w:type="dxa"/>
            <w:right w:w="108" w:type="dxa"/>
          </w:tblCellMar>
        </w:tblPrEx>
        <w:trPr>
          <w:trHeight w:val="803" w:hRule="atLeast"/>
          <w:jc w:val="center"/>
        </w:trPr>
        <w:tc>
          <w:tcPr>
            <w:tcW w:w="1706" w:type="dxa"/>
            <w:vAlign w:val="bottom"/>
          </w:tcPr>
          <w:p>
            <w:pPr>
              <w:jc w:val="center"/>
              <w:rPr>
                <w:rFonts w:ascii="Times New Roman" w:hAnsi="Times New Roman"/>
                <w:b/>
                <w:bCs/>
                <w:sz w:val="32"/>
                <w:szCs w:val="32"/>
              </w:rPr>
            </w:pPr>
            <w:r>
              <w:rPr>
                <w:rFonts w:ascii="Times New Roman" w:hAnsi="Times New Roman"/>
                <w:b/>
                <w:bCs/>
                <w:sz w:val="32"/>
                <w:szCs w:val="32"/>
              </w:rPr>
              <w:t>建设单位：</w:t>
            </w:r>
          </w:p>
        </w:tc>
        <w:tc>
          <w:tcPr>
            <w:tcW w:w="6816" w:type="dxa"/>
            <w:tcBorders>
              <w:bottom w:val="single" w:color="auto" w:sz="4" w:space="0"/>
            </w:tcBorders>
            <w:vAlign w:val="bottom"/>
          </w:tcPr>
          <w:p>
            <w:pPr>
              <w:jc w:val="center"/>
              <w:rPr>
                <w:rFonts w:ascii="Times New Roman" w:hAnsi="Times New Roman" w:eastAsia="宋体"/>
                <w:b/>
                <w:bCs/>
                <w:sz w:val="32"/>
                <w:szCs w:val="32"/>
              </w:rPr>
            </w:pPr>
            <w:r>
              <w:rPr>
                <w:rFonts w:hint="eastAsia" w:ascii="Times New Roman" w:hAnsi="Times New Roman"/>
                <w:b/>
                <w:bCs/>
                <w:sz w:val="32"/>
                <w:szCs w:val="32"/>
              </w:rPr>
              <w:t>贵州金天源置业有限公司</w:t>
            </w:r>
          </w:p>
        </w:tc>
      </w:tr>
      <w:tr>
        <w:tblPrEx>
          <w:tblCellMar>
            <w:top w:w="0" w:type="dxa"/>
            <w:left w:w="108" w:type="dxa"/>
            <w:bottom w:w="0" w:type="dxa"/>
            <w:right w:w="108" w:type="dxa"/>
          </w:tblCellMar>
        </w:tblPrEx>
        <w:trPr>
          <w:trHeight w:val="774" w:hRule="atLeast"/>
          <w:jc w:val="center"/>
        </w:trPr>
        <w:tc>
          <w:tcPr>
            <w:tcW w:w="1706" w:type="dxa"/>
            <w:vAlign w:val="bottom"/>
          </w:tcPr>
          <w:p>
            <w:pPr>
              <w:jc w:val="center"/>
              <w:rPr>
                <w:rFonts w:ascii="Times New Roman" w:hAnsi="Times New Roman"/>
                <w:b/>
                <w:bCs/>
                <w:sz w:val="32"/>
                <w:szCs w:val="32"/>
              </w:rPr>
            </w:pPr>
          </w:p>
        </w:tc>
        <w:tc>
          <w:tcPr>
            <w:tcW w:w="6816" w:type="dxa"/>
            <w:tcBorders>
              <w:top w:val="single" w:color="auto" w:sz="4" w:space="0"/>
              <w:bottom w:val="nil"/>
            </w:tcBorders>
            <w:vAlign w:val="bottom"/>
          </w:tcPr>
          <w:p>
            <w:pPr>
              <w:jc w:val="center"/>
              <w:rPr>
                <w:rFonts w:ascii="Times New Roman" w:hAnsi="Times New Roman"/>
                <w:b/>
                <w:bCs/>
                <w:sz w:val="32"/>
                <w:szCs w:val="32"/>
              </w:rPr>
            </w:pPr>
          </w:p>
        </w:tc>
      </w:tr>
      <w:tr>
        <w:tblPrEx>
          <w:tblCellMar>
            <w:top w:w="0" w:type="dxa"/>
            <w:left w:w="108" w:type="dxa"/>
            <w:bottom w:w="0" w:type="dxa"/>
            <w:right w:w="108" w:type="dxa"/>
          </w:tblCellMar>
        </w:tblPrEx>
        <w:trPr>
          <w:trHeight w:val="740" w:hRule="atLeast"/>
          <w:jc w:val="center"/>
        </w:trPr>
        <w:tc>
          <w:tcPr>
            <w:tcW w:w="1706" w:type="dxa"/>
            <w:vAlign w:val="bottom"/>
          </w:tcPr>
          <w:p>
            <w:pPr>
              <w:jc w:val="center"/>
              <w:rPr>
                <w:rFonts w:ascii="Times New Roman" w:hAnsi="Times New Roman"/>
                <w:b/>
                <w:bCs/>
                <w:sz w:val="32"/>
                <w:szCs w:val="32"/>
              </w:rPr>
            </w:pPr>
            <w:r>
              <w:rPr>
                <w:rFonts w:ascii="Times New Roman" w:hAnsi="Times New Roman"/>
                <w:b/>
                <w:bCs/>
                <w:sz w:val="32"/>
                <w:szCs w:val="32"/>
              </w:rPr>
              <w:t>编制单位：</w:t>
            </w:r>
          </w:p>
        </w:tc>
        <w:tc>
          <w:tcPr>
            <w:tcW w:w="6816" w:type="dxa"/>
            <w:tcBorders>
              <w:top w:val="nil"/>
              <w:bottom w:val="single" w:color="auto" w:sz="4" w:space="0"/>
            </w:tcBorders>
            <w:vAlign w:val="bottom"/>
          </w:tcPr>
          <w:p>
            <w:pPr>
              <w:jc w:val="center"/>
              <w:rPr>
                <w:rFonts w:ascii="Times New Roman" w:hAnsi="Times New Roman"/>
                <w:b/>
                <w:bCs/>
                <w:sz w:val="32"/>
                <w:szCs w:val="32"/>
              </w:rPr>
            </w:pPr>
            <w:r>
              <w:rPr>
                <w:rFonts w:ascii="Times New Roman" w:hAnsi="Times New Roman"/>
                <w:b/>
                <w:bCs/>
                <w:sz w:val="32"/>
                <w:szCs w:val="32"/>
              </w:rPr>
              <w:t>贵州鑫利源检测技术有限公司</w:t>
            </w:r>
          </w:p>
        </w:tc>
      </w:tr>
    </w:tbl>
    <w:p>
      <w:pPr>
        <w:spacing w:line="360" w:lineRule="auto"/>
        <w:ind w:firstLine="840" w:firstLineChars="300"/>
        <w:rPr>
          <w:rFonts w:ascii="华文新魏" w:eastAsia="华文新魏"/>
          <w:color w:val="000000"/>
          <w:sz w:val="28"/>
          <w:szCs w:val="28"/>
        </w:rPr>
      </w:pPr>
    </w:p>
    <w:p>
      <w:pPr>
        <w:rPr>
          <w:rFonts w:ascii="仿宋_GB2312" w:eastAsia="仿宋_GB2312"/>
          <w:color w:val="000000"/>
          <w:sz w:val="28"/>
        </w:rPr>
      </w:pPr>
    </w:p>
    <w:p>
      <w:pPr>
        <w:pStyle w:val="2"/>
        <w:rPr>
          <w:rFonts w:ascii="仿宋_GB2312" w:eastAsia="仿宋_GB2312"/>
          <w:sz w:val="28"/>
        </w:rPr>
      </w:pPr>
    </w:p>
    <w:p>
      <w:pPr>
        <w:pStyle w:val="2"/>
        <w:rPr>
          <w:rFonts w:ascii="仿宋_GB2312" w:eastAsia="仿宋_GB2312"/>
          <w:sz w:val="28"/>
        </w:rPr>
      </w:pPr>
    </w:p>
    <w:p>
      <w:pPr>
        <w:rPr>
          <w:rFonts w:ascii="仿宋_GB2312" w:eastAsia="仿宋_GB2312"/>
          <w:color w:val="000000"/>
          <w:sz w:val="28"/>
        </w:rPr>
      </w:pPr>
    </w:p>
    <w:p>
      <w:pPr>
        <w:rPr>
          <w:rFonts w:ascii="华文新魏" w:eastAsia="华文新魏"/>
          <w:color w:val="C00000"/>
          <w:sz w:val="28"/>
          <w:szCs w:val="28"/>
        </w:rPr>
      </w:pPr>
    </w:p>
    <w:p>
      <w:pPr>
        <w:jc w:val="center"/>
        <w:rPr>
          <w:rFonts w:ascii="Times New Roman" w:hAnsi="Times New Roman" w:eastAsia="华文新魏"/>
          <w:sz w:val="28"/>
          <w:szCs w:val="28"/>
        </w:rPr>
      </w:pPr>
      <w:r>
        <w:rPr>
          <w:rFonts w:ascii="Times New Roman" w:hAnsi="Times New Roman"/>
          <w:sz w:val="30"/>
          <w:szCs w:val="30"/>
        </w:rPr>
        <w:t>2019</w:t>
      </w:r>
      <w:r>
        <w:rPr>
          <w:rFonts w:ascii="Times New Roman" w:hAnsi="Times New Roman"/>
          <w:sz w:val="30"/>
          <w:szCs w:val="30"/>
          <w:lang w:val="zh-CN"/>
        </w:rPr>
        <w:t>年</w:t>
      </w:r>
      <w:r>
        <w:rPr>
          <w:rFonts w:hint="eastAsia" w:ascii="Times New Roman" w:hAnsi="Times New Roman"/>
          <w:sz w:val="30"/>
          <w:szCs w:val="30"/>
        </w:rPr>
        <w:t>10月19</w:t>
      </w:r>
      <w:r>
        <w:rPr>
          <w:rFonts w:ascii="Times New Roman" w:hAnsi="Times New Roman"/>
          <w:sz w:val="30"/>
          <w:szCs w:val="30"/>
          <w:lang w:val="zh-CN"/>
        </w:rPr>
        <w:t>日</w:t>
      </w:r>
    </w:p>
    <w:p>
      <w:pPr>
        <w:rPr>
          <w:rFonts w:ascii="华文新魏" w:eastAsia="华文新魏"/>
          <w:color w:val="000000" w:themeColor="text1"/>
          <w:sz w:val="28"/>
          <w:szCs w:val="28"/>
        </w:rPr>
        <w:sectPr>
          <w:headerReference r:id="rId3" w:type="default"/>
          <w:footerReference r:id="rId4" w:type="default"/>
          <w:pgSz w:w="11906" w:h="16838"/>
          <w:pgMar w:top="1440" w:right="1080" w:bottom="1440" w:left="1080" w:header="708" w:footer="708" w:gutter="0"/>
          <w:cols w:space="720" w:num="1"/>
          <w:docGrid w:linePitch="360" w:charSpace="0"/>
        </w:sectPr>
      </w:pPr>
    </w:p>
    <w:p>
      <w:pPr>
        <w:pStyle w:val="2"/>
      </w:pPr>
    </w:p>
    <w:p>
      <w:pPr>
        <w:spacing w:line="400" w:lineRule="atLeast"/>
        <w:jc w:val="center"/>
        <w:rPr>
          <w:b/>
          <w:sz w:val="36"/>
          <w:szCs w:val="36"/>
        </w:rPr>
      </w:pPr>
      <w:r>
        <w:rPr>
          <w:rFonts w:hint="eastAsia" w:ascii="Times New Roman" w:hAnsi="Times New Roman" w:eastAsia="宋体"/>
          <w:b/>
          <w:kern w:val="2"/>
          <w:sz w:val="36"/>
          <w:szCs w:val="36"/>
        </w:rPr>
        <w:t>注 意 事 项</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1、报告无骑缝章、CMA章、检验检测专用章无效；</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2、 报告无编制、审核、签发签名无效，报告经涂改无效；</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3、  自行采样样品数据的准确性、样品的真实性及代表性由本公司负责；送检样品本公司仅对检测数据的准确性负责；不对样品的真实性及代表性负责；</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4、报告涂改或缺页无效；</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5、对本报告有异议，请于收到报告之日起十五日内向本公司提出书面材料，逾期不予受理；</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6、未经本公司书面同意不得部分地复制本报告；</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7、未经本公司许可不得将本报告用于产品宣传或从事商业活动；</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8、本报告分正副本，正本由客户/客户单位留存，副本（含原始记录）由检测单位留存。</w:t>
      </w:r>
    </w:p>
    <w:p>
      <w:pPr>
        <w:pStyle w:val="2"/>
        <w:rPr>
          <w:rFonts w:ascii="Times New Roman" w:hAnsi="Times New Roman"/>
          <w:kern w:val="2"/>
          <w:sz w:val="28"/>
          <w:szCs w:val="28"/>
        </w:rPr>
      </w:pPr>
    </w:p>
    <w:p>
      <w:pPr>
        <w:pStyle w:val="2"/>
        <w:rPr>
          <w:rFonts w:ascii="Times New Roman" w:hAnsi="Times New Roman"/>
          <w:kern w:val="2"/>
          <w:sz w:val="28"/>
          <w:szCs w:val="28"/>
        </w:rPr>
      </w:pPr>
    </w:p>
    <w:p>
      <w:pPr>
        <w:pStyle w:val="2"/>
        <w:rPr>
          <w:rFonts w:ascii="Times New Roman" w:hAnsi="Times New Roman"/>
          <w:kern w:val="2"/>
          <w:sz w:val="28"/>
          <w:szCs w:val="28"/>
        </w:rPr>
      </w:pPr>
    </w:p>
    <w:p>
      <w:pPr>
        <w:pStyle w:val="2"/>
        <w:rPr>
          <w:rFonts w:ascii="Times New Roman" w:hAnsi="Times New Roman"/>
          <w:kern w:val="2"/>
          <w:sz w:val="28"/>
          <w:szCs w:val="28"/>
        </w:rPr>
      </w:pP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机构通讯资料：</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公司名称：贵州鑫利源检测技术有限公司</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地    址：贵阳市观山湖区金华镇陆航汽配电商城10栋5楼</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邮政编码：550081</w:t>
      </w:r>
    </w:p>
    <w:p>
      <w:pPr>
        <w:widowControl w:val="0"/>
        <w:adjustRightInd/>
        <w:snapToGrid/>
        <w:spacing w:line="480" w:lineRule="auto"/>
        <w:jc w:val="both"/>
        <w:rPr>
          <w:rFonts w:ascii="Times New Roman" w:hAnsi="Times New Roman" w:eastAsia="宋体"/>
          <w:kern w:val="2"/>
          <w:sz w:val="28"/>
          <w:szCs w:val="28"/>
        </w:rPr>
      </w:pPr>
      <w:r>
        <w:rPr>
          <w:rFonts w:hint="eastAsia" w:ascii="Times New Roman" w:hAnsi="Times New Roman" w:eastAsia="宋体"/>
          <w:kern w:val="2"/>
          <w:sz w:val="28"/>
          <w:szCs w:val="28"/>
        </w:rPr>
        <w:t>电    话：0851-84850167</w:t>
      </w:r>
    </w:p>
    <w:p>
      <w:pPr>
        <w:rPr>
          <w:rFonts w:ascii="仿宋_GB2312" w:eastAsia="仿宋_GB2312"/>
          <w:color w:val="FF0000"/>
          <w:sz w:val="32"/>
        </w:rPr>
      </w:pPr>
    </w:p>
    <w:p>
      <w:pPr>
        <w:spacing w:line="360" w:lineRule="auto"/>
        <w:rPr>
          <w:rFonts w:ascii="Times New Roman" w:hAnsi="Times New Roman" w:eastAsia="仿宋_GB2312"/>
          <w:b/>
          <w:color w:val="000000" w:themeColor="text1"/>
          <w:sz w:val="28"/>
        </w:rPr>
      </w:pPr>
      <w:r>
        <w:rPr>
          <w:rFonts w:ascii="Times New Roman" w:hAnsi="Times New Roman" w:eastAsia="仿宋_GB2312"/>
          <w:b/>
          <w:color w:val="000000" w:themeColor="text1"/>
          <w:sz w:val="28"/>
        </w:rPr>
        <w:t>建设单位法人代表:</w:t>
      </w:r>
      <w:r>
        <w:rPr>
          <w:rFonts w:hint="eastAsia" w:ascii="Times New Roman" w:hAnsi="Times New Roman" w:eastAsia="仿宋_GB2312"/>
          <w:b/>
          <w:color w:val="000000" w:themeColor="text1"/>
          <w:sz w:val="28"/>
        </w:rPr>
        <w:t>杨明金</w:t>
      </w:r>
    </w:p>
    <w:p>
      <w:pPr>
        <w:spacing w:line="360" w:lineRule="auto"/>
        <w:rPr>
          <w:rFonts w:ascii="Times New Roman" w:hAnsi="Times New Roman" w:eastAsia="仿宋_GB2312"/>
          <w:color w:val="000000" w:themeColor="text1"/>
          <w:sz w:val="28"/>
        </w:rPr>
      </w:pPr>
      <w:r>
        <w:rPr>
          <w:rFonts w:ascii="Times New Roman" w:hAnsi="Times New Roman" w:eastAsia="仿宋_GB2312"/>
          <w:b/>
          <w:color w:val="000000" w:themeColor="text1"/>
          <w:sz w:val="28"/>
        </w:rPr>
        <w:t>编制单位法人代表:蔡波</w:t>
      </w:r>
    </w:p>
    <w:p>
      <w:pPr>
        <w:spacing w:line="360" w:lineRule="auto"/>
        <w:rPr>
          <w:rFonts w:ascii="Times New Roman" w:hAnsi="Times New Roman" w:eastAsia="仿宋_GB2312"/>
          <w:b/>
          <w:color w:val="000000" w:themeColor="text1"/>
          <w:sz w:val="28"/>
        </w:rPr>
      </w:pPr>
      <w:r>
        <w:rPr>
          <w:rFonts w:ascii="Times New Roman" w:hAnsi="Times New Roman" w:eastAsia="仿宋_GB2312"/>
          <w:b/>
          <w:color w:val="000000" w:themeColor="text1"/>
          <w:sz w:val="28"/>
        </w:rPr>
        <w:t>项 目 负 责 人 :</w:t>
      </w:r>
      <w:r>
        <w:rPr>
          <w:rFonts w:hint="eastAsia" w:ascii="Times New Roman" w:hAnsi="Times New Roman" w:eastAsia="仿宋_GB2312"/>
          <w:b/>
          <w:color w:val="000000" w:themeColor="text1"/>
          <w:sz w:val="28"/>
        </w:rPr>
        <w:t>汤全峰</w:t>
      </w:r>
    </w:p>
    <w:p>
      <w:pPr>
        <w:spacing w:line="360" w:lineRule="auto"/>
        <w:rPr>
          <w:rFonts w:ascii="Times New Roman" w:hAnsi="Times New Roman" w:eastAsia="仿宋_GB2312"/>
          <w:color w:val="000000" w:themeColor="text1"/>
          <w:sz w:val="28"/>
        </w:rPr>
      </w:pPr>
      <w:r>
        <w:rPr>
          <w:rFonts w:ascii="Times New Roman" w:hAnsi="Times New Roman" w:eastAsia="仿宋_GB2312"/>
          <w:b/>
          <w:color w:val="000000" w:themeColor="text1"/>
          <w:sz w:val="28"/>
        </w:rPr>
        <w:t>填    表    人：</w:t>
      </w:r>
      <w:r>
        <w:rPr>
          <w:rFonts w:ascii="Times New Roman" w:hAnsi="Times New Roman" w:eastAsia="仿宋_GB2312"/>
          <w:b/>
          <w:sz w:val="28"/>
        </w:rPr>
        <w:t>陈丽</w:t>
      </w:r>
    </w:p>
    <w:p>
      <w:pPr>
        <w:spacing w:line="360" w:lineRule="auto"/>
        <w:rPr>
          <w:rFonts w:ascii="仿宋_GB2312" w:eastAsia="仿宋_GB2312"/>
          <w:color w:val="000000"/>
          <w:sz w:val="28"/>
        </w:rPr>
      </w:pPr>
    </w:p>
    <w:p>
      <w:pPr>
        <w:tabs>
          <w:tab w:val="left" w:pos="984"/>
        </w:tabs>
        <w:spacing w:line="360" w:lineRule="auto"/>
        <w:rPr>
          <w:rFonts w:ascii="仿宋_GB2312" w:eastAsia="仿宋_GB2312"/>
          <w:color w:val="000000"/>
          <w:sz w:val="28"/>
        </w:rPr>
      </w:pPr>
      <w:r>
        <w:rPr>
          <w:rFonts w:ascii="仿宋_GB2312" w:eastAsia="仿宋_GB2312"/>
          <w:color w:val="000000"/>
          <w:sz w:val="28"/>
        </w:rPr>
        <w:tab/>
      </w:r>
    </w:p>
    <w:p>
      <w:pPr>
        <w:tabs>
          <w:tab w:val="left" w:pos="984"/>
        </w:tabs>
        <w:spacing w:line="360" w:lineRule="auto"/>
        <w:rPr>
          <w:rFonts w:ascii="仿宋_GB2312" w:eastAsia="仿宋_GB2312"/>
          <w:color w:val="000000"/>
          <w:sz w:val="28"/>
        </w:rPr>
      </w:pPr>
    </w:p>
    <w:p>
      <w:pPr>
        <w:spacing w:line="360" w:lineRule="auto"/>
        <w:rPr>
          <w:rFonts w:ascii="仿宋_GB2312" w:eastAsia="仿宋_GB2312"/>
          <w:color w:val="000000"/>
          <w:sz w:val="28"/>
        </w:rPr>
      </w:pPr>
    </w:p>
    <w:p>
      <w:pPr>
        <w:spacing w:line="360" w:lineRule="auto"/>
        <w:rPr>
          <w:rFonts w:ascii="仿宋_GB2312" w:eastAsia="仿宋_GB2312"/>
          <w:color w:val="000000"/>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p>
      <w:pPr>
        <w:pStyle w:val="2"/>
        <w:rPr>
          <w:rFonts w:ascii="仿宋_GB2312" w:eastAsia="仿宋_GB2312"/>
          <w:sz w:val="28"/>
        </w:rPr>
      </w:pPr>
    </w:p>
    <w:tbl>
      <w:tblPr>
        <w:tblStyle w:val="13"/>
        <w:tblW w:w="98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2"/>
        <w:gridCol w:w="44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2" w:type="dxa"/>
          </w:tcPr>
          <w:p>
            <w:pPr>
              <w:widowControl w:val="0"/>
              <w:jc w:val="both"/>
              <w:rPr>
                <w:rFonts w:ascii="Times New Roman" w:hAnsi="Times New Roman" w:eastAsia="仿宋_GB2312"/>
                <w:sz w:val="24"/>
                <w:szCs w:val="28"/>
              </w:rPr>
            </w:pPr>
            <w:r>
              <w:rPr>
                <w:rFonts w:ascii="Times New Roman" w:hAnsi="Times New Roman" w:eastAsia="仿宋_GB2312"/>
                <w:sz w:val="24"/>
                <w:szCs w:val="28"/>
              </w:rPr>
              <w:t>建设单位：</w:t>
            </w:r>
            <w:r>
              <w:rPr>
                <w:rFonts w:hint="eastAsia" w:ascii="Times New Roman" w:hAnsi="Times New Roman" w:eastAsia="仿宋_GB2312"/>
                <w:sz w:val="24"/>
                <w:szCs w:val="28"/>
              </w:rPr>
              <w:t>贵州金天源置业有限公司</w:t>
            </w:r>
          </w:p>
          <w:p>
            <w:pPr>
              <w:widowControl w:val="0"/>
              <w:jc w:val="both"/>
              <w:rPr>
                <w:rFonts w:ascii="Times New Roman" w:hAnsi="Times New Roman" w:eastAsia="仿宋_GB2312"/>
                <w:sz w:val="24"/>
                <w:szCs w:val="28"/>
              </w:rPr>
            </w:pPr>
            <w:r>
              <w:rPr>
                <w:rFonts w:ascii="Times New Roman" w:hAnsi="Times New Roman" w:eastAsia="仿宋_GB2312"/>
                <w:sz w:val="24"/>
                <w:szCs w:val="28"/>
              </w:rPr>
              <w:t>电话：</w:t>
            </w:r>
            <w:r>
              <w:rPr>
                <w:rFonts w:hint="eastAsia" w:ascii="Times New Roman" w:hAnsi="Times New Roman" w:eastAsia="仿宋_GB2312"/>
                <w:sz w:val="24"/>
                <w:szCs w:val="28"/>
              </w:rPr>
              <w:t>18984463946</w:t>
            </w:r>
          </w:p>
          <w:p>
            <w:pPr>
              <w:widowControl w:val="0"/>
              <w:jc w:val="both"/>
              <w:rPr>
                <w:rFonts w:ascii="Times New Roman" w:hAnsi="Times New Roman" w:eastAsia="仿宋_GB2312"/>
                <w:sz w:val="24"/>
                <w:szCs w:val="28"/>
              </w:rPr>
            </w:pPr>
            <w:r>
              <w:rPr>
                <w:rFonts w:ascii="Times New Roman" w:hAnsi="Times New Roman" w:eastAsia="仿宋_GB2312"/>
                <w:sz w:val="24"/>
                <w:szCs w:val="28"/>
              </w:rPr>
              <w:t>传真：/</w:t>
            </w:r>
          </w:p>
          <w:p>
            <w:pPr>
              <w:widowControl w:val="0"/>
              <w:jc w:val="both"/>
              <w:rPr>
                <w:rFonts w:ascii="Times New Roman" w:hAnsi="Times New Roman" w:eastAsia="仿宋_GB2312"/>
                <w:sz w:val="24"/>
                <w:szCs w:val="28"/>
              </w:rPr>
            </w:pPr>
            <w:r>
              <w:rPr>
                <w:rFonts w:ascii="Times New Roman" w:hAnsi="Times New Roman" w:eastAsia="仿宋_GB2312"/>
                <w:sz w:val="24"/>
                <w:szCs w:val="28"/>
              </w:rPr>
              <w:t>邮编：</w:t>
            </w:r>
            <w:r>
              <w:rPr>
                <w:rFonts w:hint="eastAsia" w:ascii="Times New Roman" w:hAnsi="Times New Roman" w:eastAsia="仿宋_GB2312"/>
                <w:sz w:val="24"/>
                <w:szCs w:val="28"/>
              </w:rPr>
              <w:t>563500</w:t>
            </w:r>
          </w:p>
          <w:p>
            <w:pPr>
              <w:widowControl w:val="0"/>
              <w:jc w:val="both"/>
              <w:rPr>
                <w:rFonts w:ascii="Times New Roman" w:hAnsi="Times New Roman" w:eastAsia="仿宋_GB2312"/>
                <w:sz w:val="24"/>
                <w:szCs w:val="28"/>
              </w:rPr>
            </w:pPr>
            <w:r>
              <w:rPr>
                <w:rFonts w:ascii="Times New Roman" w:hAnsi="Times New Roman" w:eastAsia="仿宋_GB2312"/>
                <w:sz w:val="24"/>
                <w:szCs w:val="28"/>
              </w:rPr>
              <w:t>地址：</w:t>
            </w:r>
            <w:r>
              <w:rPr>
                <w:rFonts w:hint="eastAsia" w:ascii="Times New Roman" w:hAnsi="Times New Roman" w:eastAsia="仿宋_GB2312"/>
                <w:sz w:val="24"/>
                <w:szCs w:val="28"/>
              </w:rPr>
              <w:t>道真自治县玉溪镇新城社区</w:t>
            </w:r>
          </w:p>
        </w:tc>
        <w:tc>
          <w:tcPr>
            <w:tcW w:w="4462" w:type="dxa"/>
          </w:tcPr>
          <w:p>
            <w:pPr>
              <w:widowControl w:val="0"/>
              <w:jc w:val="both"/>
              <w:rPr>
                <w:rFonts w:ascii="Times New Roman" w:hAnsi="Times New Roman" w:eastAsia="仿宋_GB2312"/>
                <w:sz w:val="24"/>
                <w:szCs w:val="28"/>
              </w:rPr>
            </w:pPr>
            <w:r>
              <w:rPr>
                <w:rFonts w:ascii="Times New Roman" w:hAnsi="Times New Roman" w:eastAsia="仿宋_GB2312"/>
                <w:sz w:val="24"/>
                <w:szCs w:val="28"/>
              </w:rPr>
              <w:t>编制单位：贵州鑫利源检测技术有限公司</w:t>
            </w:r>
          </w:p>
          <w:p>
            <w:pPr>
              <w:widowControl w:val="0"/>
              <w:jc w:val="both"/>
              <w:rPr>
                <w:rFonts w:ascii="Times New Roman" w:hAnsi="Times New Roman" w:eastAsia="仿宋_GB2312"/>
                <w:sz w:val="24"/>
                <w:szCs w:val="28"/>
              </w:rPr>
            </w:pPr>
            <w:r>
              <w:rPr>
                <w:rFonts w:ascii="Times New Roman" w:hAnsi="Times New Roman" w:eastAsia="仿宋_GB2312"/>
                <w:sz w:val="24"/>
                <w:szCs w:val="28"/>
              </w:rPr>
              <w:t>电话</w:t>
            </w:r>
            <w:r>
              <w:rPr>
                <w:rFonts w:hint="eastAsia" w:ascii="Times New Roman" w:hAnsi="Times New Roman" w:eastAsia="仿宋_GB2312"/>
                <w:sz w:val="24"/>
                <w:szCs w:val="28"/>
              </w:rPr>
              <w:t>：</w:t>
            </w:r>
            <w:r>
              <w:rPr>
                <w:rFonts w:ascii="Times New Roman" w:hAnsi="Times New Roman" w:eastAsia="仿宋_GB2312"/>
                <w:sz w:val="24"/>
                <w:szCs w:val="28"/>
              </w:rPr>
              <w:t>0851-84850167</w:t>
            </w:r>
          </w:p>
          <w:p>
            <w:pPr>
              <w:widowControl w:val="0"/>
              <w:jc w:val="both"/>
              <w:rPr>
                <w:rFonts w:ascii="Times New Roman" w:hAnsi="Times New Roman" w:eastAsia="仿宋_GB2312"/>
                <w:sz w:val="24"/>
                <w:szCs w:val="28"/>
              </w:rPr>
            </w:pPr>
            <w:r>
              <w:rPr>
                <w:rFonts w:ascii="Times New Roman" w:hAnsi="Times New Roman" w:eastAsia="仿宋_GB2312"/>
                <w:sz w:val="24"/>
                <w:szCs w:val="28"/>
              </w:rPr>
              <w:t>传真</w:t>
            </w:r>
            <w:r>
              <w:rPr>
                <w:rFonts w:hint="eastAsia" w:ascii="Times New Roman" w:hAnsi="Times New Roman" w:eastAsia="仿宋_GB2312"/>
                <w:sz w:val="24"/>
                <w:szCs w:val="28"/>
              </w:rPr>
              <w:t>：</w:t>
            </w:r>
            <w:r>
              <w:rPr>
                <w:rFonts w:ascii="Times New Roman" w:hAnsi="Times New Roman" w:eastAsia="仿宋_GB2312"/>
                <w:sz w:val="24"/>
                <w:szCs w:val="28"/>
              </w:rPr>
              <w:t xml:space="preserve"> /</w:t>
            </w:r>
          </w:p>
          <w:p>
            <w:pPr>
              <w:widowControl w:val="0"/>
              <w:jc w:val="both"/>
              <w:rPr>
                <w:rFonts w:ascii="Times New Roman" w:hAnsi="Times New Roman" w:eastAsia="仿宋_GB2312"/>
                <w:sz w:val="24"/>
                <w:szCs w:val="28"/>
              </w:rPr>
            </w:pPr>
            <w:r>
              <w:rPr>
                <w:rFonts w:ascii="Times New Roman" w:hAnsi="Times New Roman" w:eastAsia="仿宋_GB2312"/>
                <w:sz w:val="24"/>
                <w:szCs w:val="28"/>
              </w:rPr>
              <w:t>邮编</w:t>
            </w:r>
            <w:r>
              <w:rPr>
                <w:rFonts w:hint="eastAsia" w:ascii="Times New Roman" w:hAnsi="Times New Roman" w:eastAsia="仿宋_GB2312"/>
                <w:sz w:val="24"/>
                <w:szCs w:val="28"/>
              </w:rPr>
              <w:t>：</w:t>
            </w:r>
            <w:r>
              <w:rPr>
                <w:rFonts w:ascii="Times New Roman" w:hAnsi="Times New Roman" w:eastAsia="仿宋_GB2312"/>
                <w:sz w:val="24"/>
                <w:szCs w:val="28"/>
              </w:rPr>
              <w:t>550081</w:t>
            </w:r>
          </w:p>
          <w:p>
            <w:pPr>
              <w:widowControl w:val="0"/>
              <w:jc w:val="both"/>
              <w:rPr>
                <w:rFonts w:ascii="Times New Roman" w:hAnsi="Times New Roman" w:eastAsia="仿宋_GB2312"/>
                <w:sz w:val="32"/>
                <w:szCs w:val="24"/>
              </w:rPr>
            </w:pPr>
            <w:r>
              <w:rPr>
                <w:rFonts w:ascii="Times New Roman" w:hAnsi="Times New Roman" w:eastAsia="仿宋_GB2312"/>
                <w:sz w:val="24"/>
                <w:szCs w:val="28"/>
              </w:rPr>
              <w:t>地址</w:t>
            </w:r>
            <w:r>
              <w:rPr>
                <w:rFonts w:hint="eastAsia" w:ascii="Times New Roman" w:hAnsi="Times New Roman" w:eastAsia="仿宋_GB2312"/>
                <w:sz w:val="24"/>
                <w:szCs w:val="28"/>
              </w:rPr>
              <w:t>：</w:t>
            </w:r>
            <w:r>
              <w:rPr>
                <w:rFonts w:ascii="Times New Roman" w:hAnsi="Times New Roman" w:eastAsia="仿宋_GB2312"/>
                <w:sz w:val="24"/>
                <w:szCs w:val="28"/>
              </w:rPr>
              <w:t>贵阳市观山湖区金华镇陆航汽配电商城10栋5楼</w:t>
            </w:r>
          </w:p>
        </w:tc>
      </w:tr>
    </w:tbl>
    <w:p>
      <w:pPr>
        <w:spacing w:line="360" w:lineRule="auto"/>
        <w:rPr>
          <w:rFonts w:hAnsi="Arial" w:eastAsia="仿宋_GB2312"/>
          <w:color w:val="000000"/>
          <w:sz w:val="21"/>
          <w:szCs w:val="21"/>
        </w:rPr>
        <w:sectPr>
          <w:pgSz w:w="11906" w:h="16838"/>
          <w:pgMar w:top="1440" w:right="1134" w:bottom="1440" w:left="1134" w:header="709" w:footer="709" w:gutter="0"/>
          <w:cols w:space="0" w:num="1"/>
          <w:docGrid w:linePitch="360" w:charSpace="0"/>
        </w:sectPr>
      </w:pPr>
    </w:p>
    <w:p>
      <w:pPr>
        <w:rPr>
          <w:rFonts w:ascii="Times New Roman" w:hAnsi="Times New Roman" w:eastAsia="仿宋_GB2312"/>
          <w:b/>
          <w:color w:val="000000"/>
          <w:sz w:val="36"/>
          <w:szCs w:val="36"/>
        </w:rPr>
      </w:pPr>
      <w:r>
        <w:rPr>
          <w:rFonts w:ascii="Times New Roman" w:hAnsi="Times New Roman" w:eastAsia="仿宋_GB2312"/>
          <w:b/>
          <w:color w:val="000000"/>
          <w:sz w:val="32"/>
          <w:szCs w:val="32"/>
        </w:rPr>
        <w:t>表一</w:t>
      </w:r>
    </w:p>
    <w:tbl>
      <w:tblPr>
        <w:tblStyle w:val="12"/>
        <w:tblW w:w="9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2025"/>
        <w:gridCol w:w="1965"/>
        <w:gridCol w:w="1686"/>
        <w:gridCol w:w="845"/>
        <w:gridCol w:w="11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建设项目名称</w:t>
            </w:r>
          </w:p>
        </w:tc>
        <w:tc>
          <w:tcPr>
            <w:tcW w:w="7664" w:type="dxa"/>
            <w:gridSpan w:val="5"/>
            <w:vAlign w:val="center"/>
          </w:tcPr>
          <w:p>
            <w:pPr>
              <w:rPr>
                <w:rFonts w:ascii="Times New Roman" w:hAnsi="Times New Roman" w:eastAsia="宋体"/>
                <w:color w:val="000000"/>
                <w:sz w:val="21"/>
                <w:szCs w:val="21"/>
              </w:rPr>
            </w:pPr>
            <w:r>
              <w:rPr>
                <w:rFonts w:hint="eastAsia" w:ascii="Times New Roman" w:hAnsi="Times New Roman" w:eastAsia="宋体"/>
                <w:color w:val="000000"/>
                <w:sz w:val="21"/>
                <w:szCs w:val="21"/>
              </w:rPr>
              <w:t>道真金瑞中心城一期房地产开发建设项目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建设单位名称</w:t>
            </w:r>
          </w:p>
        </w:tc>
        <w:tc>
          <w:tcPr>
            <w:tcW w:w="7664" w:type="dxa"/>
            <w:gridSpan w:val="5"/>
            <w:vAlign w:val="center"/>
          </w:tcPr>
          <w:p>
            <w:pPr>
              <w:rPr>
                <w:rFonts w:ascii="Times New Roman" w:hAnsi="Times New Roman" w:eastAsia="宋体"/>
                <w:color w:val="000000"/>
                <w:sz w:val="21"/>
                <w:szCs w:val="21"/>
              </w:rPr>
            </w:pPr>
            <w:r>
              <w:rPr>
                <w:rFonts w:hint="eastAsia" w:ascii="Times New Roman" w:hAnsi="Times New Roman" w:eastAsia="宋体"/>
                <w:color w:val="000000"/>
                <w:sz w:val="21"/>
                <w:szCs w:val="21"/>
              </w:rPr>
              <w:t>贵州金天源置业有限公司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建设项目性质</w:t>
            </w:r>
          </w:p>
        </w:tc>
        <w:tc>
          <w:tcPr>
            <w:tcW w:w="7664" w:type="dxa"/>
            <w:gridSpan w:val="5"/>
            <w:vAlign w:val="center"/>
          </w:tcPr>
          <w:p>
            <w:pPr>
              <w:rPr>
                <w:rFonts w:ascii="Times New Roman" w:hAnsi="Times New Roman" w:eastAsia="宋体"/>
                <w:color w:val="000000"/>
                <w:sz w:val="21"/>
                <w:szCs w:val="21"/>
              </w:rPr>
            </w:pPr>
            <w:r>
              <w:rPr>
                <w:rFonts w:ascii="Times New Roman" w:hAnsi="Times New Roman" w:eastAsia="宋体"/>
                <w:color w:val="000000"/>
                <w:sz w:val="21"/>
                <w:szCs w:val="21"/>
              </w:rPr>
              <w:t>新建√  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建设地点</w:t>
            </w:r>
          </w:p>
        </w:tc>
        <w:tc>
          <w:tcPr>
            <w:tcW w:w="7664" w:type="dxa"/>
            <w:gridSpan w:val="5"/>
            <w:vAlign w:val="center"/>
          </w:tcPr>
          <w:p>
            <w:pPr>
              <w:rPr>
                <w:rFonts w:ascii="Times New Roman" w:hAnsi="Times New Roman" w:eastAsia="宋体"/>
                <w:color w:val="000000"/>
                <w:sz w:val="21"/>
                <w:szCs w:val="21"/>
              </w:rPr>
            </w:pPr>
            <w:r>
              <w:rPr>
                <w:rFonts w:hint="eastAsia" w:ascii="Times New Roman" w:hAnsi="Times New Roman" w:eastAsia="宋体"/>
                <w:color w:val="000000"/>
                <w:sz w:val="21"/>
                <w:szCs w:val="21"/>
              </w:rPr>
              <w:t>道真县上坝乡八一村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主要产品名称</w:t>
            </w:r>
          </w:p>
        </w:tc>
        <w:tc>
          <w:tcPr>
            <w:tcW w:w="7664" w:type="dxa"/>
            <w:gridSpan w:val="5"/>
            <w:vAlign w:val="center"/>
          </w:tcPr>
          <w:p>
            <w:pPr>
              <w:rPr>
                <w:rFonts w:ascii="Times New Roman" w:hAnsi="Times New Roman" w:eastAsia="宋体"/>
                <w:color w:val="000000"/>
                <w:sz w:val="21"/>
                <w:szCs w:val="21"/>
              </w:rPr>
            </w:pPr>
            <w:r>
              <w:rPr>
                <w:rFonts w:hint="eastAsia" w:ascii="Times New Roman" w:hAnsi="Times New Roman" w:eastAsia="宋体"/>
                <w:color w:val="0000FF"/>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设计生产能力</w:t>
            </w:r>
          </w:p>
        </w:tc>
        <w:tc>
          <w:tcPr>
            <w:tcW w:w="7664" w:type="dxa"/>
            <w:gridSpan w:val="5"/>
            <w:vAlign w:val="center"/>
          </w:tcPr>
          <w:p>
            <w:pPr>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572套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190" w:type="dxa"/>
            <w:vAlign w:val="center"/>
          </w:tcPr>
          <w:p>
            <w:pPr>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实际生产能力</w:t>
            </w:r>
          </w:p>
        </w:tc>
        <w:tc>
          <w:tcPr>
            <w:tcW w:w="7664" w:type="dxa"/>
            <w:gridSpan w:val="5"/>
            <w:vAlign w:val="center"/>
          </w:tcPr>
          <w:p>
            <w:pPr>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458套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建设项目环评时间</w:t>
            </w:r>
          </w:p>
        </w:tc>
        <w:tc>
          <w:tcPr>
            <w:tcW w:w="2025" w:type="dxa"/>
            <w:vAlign w:val="center"/>
          </w:tcPr>
          <w:p>
            <w:pPr>
              <w:jc w:val="center"/>
              <w:rPr>
                <w:rFonts w:ascii="Times New Roman" w:hAnsi="Times New Roman" w:eastAsia="宋体"/>
                <w:sz w:val="21"/>
                <w:szCs w:val="21"/>
              </w:rPr>
            </w:pPr>
            <w:r>
              <w:rPr>
                <w:rFonts w:hint="eastAsia" w:ascii="Times New Roman" w:hAnsi="Times New Roman" w:eastAsia="宋体"/>
                <w:sz w:val="21"/>
                <w:szCs w:val="21"/>
              </w:rPr>
              <w:t>2014年12月</w:t>
            </w:r>
          </w:p>
        </w:tc>
        <w:tc>
          <w:tcPr>
            <w:tcW w:w="1965" w:type="dxa"/>
            <w:vAlign w:val="center"/>
          </w:tcPr>
          <w:p>
            <w:pPr>
              <w:jc w:val="center"/>
              <w:rPr>
                <w:rFonts w:ascii="Times New Roman" w:hAnsi="Times New Roman" w:eastAsia="宋体"/>
                <w:sz w:val="21"/>
                <w:szCs w:val="21"/>
              </w:rPr>
            </w:pPr>
            <w:r>
              <w:rPr>
                <w:rFonts w:ascii="Times New Roman" w:hAnsi="Times New Roman" w:eastAsia="宋体"/>
                <w:sz w:val="21"/>
                <w:szCs w:val="21"/>
              </w:rPr>
              <w:t>开工建设时间</w:t>
            </w:r>
          </w:p>
        </w:tc>
        <w:tc>
          <w:tcPr>
            <w:tcW w:w="3674" w:type="dxa"/>
            <w:gridSpan w:val="3"/>
            <w:vAlign w:val="center"/>
          </w:tcPr>
          <w:p>
            <w:pPr>
              <w:jc w:val="center"/>
              <w:rPr>
                <w:rFonts w:ascii="Times New Roman" w:hAnsi="Times New Roman" w:eastAsia="宋体"/>
                <w:sz w:val="21"/>
                <w:szCs w:val="21"/>
              </w:rPr>
            </w:pPr>
            <w:r>
              <w:rPr>
                <w:rFonts w:hint="eastAsia" w:ascii="Times New Roman" w:hAnsi="Times New Roman" w:eastAsia="宋体"/>
                <w:sz w:val="21"/>
                <w:szCs w:val="21"/>
              </w:rPr>
              <w:t>2015</w:t>
            </w:r>
            <w:r>
              <w:rPr>
                <w:rFonts w:ascii="Times New Roman" w:hAnsi="Times New Roman" w:eastAsia="宋体"/>
                <w:sz w:val="21"/>
                <w:szCs w:val="21"/>
              </w:rPr>
              <w:t>年</w:t>
            </w:r>
            <w:r>
              <w:rPr>
                <w:rFonts w:hint="eastAsia" w:ascii="Times New Roman" w:hAnsi="Times New Roman" w:eastAsia="宋体"/>
                <w:sz w:val="21"/>
                <w:szCs w:val="21"/>
              </w:rPr>
              <w:t>4</w:t>
            </w:r>
            <w:r>
              <w:rPr>
                <w:rFonts w:ascii="Times New Roman" w:hAnsi="Times New Roman" w:eastAsia="宋体"/>
                <w:sz w:val="21"/>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调试时间</w:t>
            </w:r>
          </w:p>
        </w:tc>
        <w:tc>
          <w:tcPr>
            <w:tcW w:w="2025" w:type="dxa"/>
            <w:vAlign w:val="center"/>
          </w:tcPr>
          <w:p>
            <w:pPr>
              <w:jc w:val="center"/>
              <w:rPr>
                <w:rFonts w:ascii="Times New Roman" w:hAnsi="Times New Roman" w:eastAsia="宋体"/>
                <w:sz w:val="21"/>
                <w:szCs w:val="21"/>
              </w:rPr>
            </w:pPr>
            <w:r>
              <w:rPr>
                <w:rFonts w:ascii="Times New Roman" w:hAnsi="Times New Roman" w:eastAsia="宋体"/>
                <w:sz w:val="21"/>
                <w:szCs w:val="21"/>
              </w:rPr>
              <w:t>201</w:t>
            </w:r>
            <w:r>
              <w:rPr>
                <w:rFonts w:hint="eastAsia" w:ascii="Times New Roman" w:hAnsi="Times New Roman" w:eastAsia="宋体"/>
                <w:sz w:val="21"/>
                <w:szCs w:val="21"/>
              </w:rPr>
              <w:t>7</w:t>
            </w:r>
            <w:r>
              <w:rPr>
                <w:rFonts w:ascii="Times New Roman" w:hAnsi="Times New Roman" w:eastAsia="宋体"/>
                <w:sz w:val="21"/>
                <w:szCs w:val="21"/>
              </w:rPr>
              <w:t>年</w:t>
            </w:r>
            <w:r>
              <w:rPr>
                <w:rFonts w:hint="eastAsia" w:ascii="Times New Roman" w:hAnsi="Times New Roman" w:eastAsia="宋体"/>
                <w:sz w:val="21"/>
                <w:szCs w:val="21"/>
              </w:rPr>
              <w:t>6</w:t>
            </w:r>
            <w:r>
              <w:rPr>
                <w:rFonts w:ascii="Times New Roman" w:hAnsi="Times New Roman" w:eastAsia="宋体"/>
                <w:sz w:val="21"/>
                <w:szCs w:val="21"/>
              </w:rPr>
              <w:t>月</w:t>
            </w:r>
          </w:p>
        </w:tc>
        <w:tc>
          <w:tcPr>
            <w:tcW w:w="1965" w:type="dxa"/>
            <w:vAlign w:val="center"/>
          </w:tcPr>
          <w:p>
            <w:pPr>
              <w:jc w:val="center"/>
              <w:rPr>
                <w:rFonts w:ascii="Times New Roman" w:hAnsi="Times New Roman" w:eastAsia="宋体"/>
                <w:sz w:val="21"/>
                <w:szCs w:val="21"/>
              </w:rPr>
            </w:pPr>
            <w:r>
              <w:rPr>
                <w:rFonts w:ascii="Times New Roman" w:hAnsi="Times New Roman" w:eastAsia="宋体"/>
                <w:sz w:val="21"/>
                <w:szCs w:val="21"/>
              </w:rPr>
              <w:t>验收现场监测时间</w:t>
            </w:r>
          </w:p>
        </w:tc>
        <w:tc>
          <w:tcPr>
            <w:tcW w:w="3674" w:type="dxa"/>
            <w:gridSpan w:val="3"/>
            <w:vAlign w:val="center"/>
          </w:tcPr>
          <w:p>
            <w:pPr>
              <w:jc w:val="center"/>
              <w:rPr>
                <w:rFonts w:ascii="Times New Roman" w:hAnsi="Times New Roman" w:eastAsia="宋体"/>
                <w:sz w:val="21"/>
                <w:szCs w:val="21"/>
              </w:rPr>
            </w:pPr>
            <w:r>
              <w:rPr>
                <w:rFonts w:ascii="Times New Roman" w:hAnsi="Times New Roman" w:eastAsia="宋体"/>
                <w:sz w:val="21"/>
                <w:szCs w:val="21"/>
              </w:rPr>
              <w:t>201</w:t>
            </w:r>
            <w:r>
              <w:rPr>
                <w:rFonts w:hint="eastAsia" w:ascii="Times New Roman" w:hAnsi="Times New Roman" w:eastAsia="宋体"/>
                <w:sz w:val="21"/>
                <w:szCs w:val="21"/>
              </w:rPr>
              <w:t>9</w:t>
            </w:r>
            <w:r>
              <w:rPr>
                <w:rFonts w:ascii="Times New Roman" w:hAnsi="Times New Roman" w:eastAsia="宋体"/>
                <w:sz w:val="21"/>
                <w:szCs w:val="21"/>
              </w:rPr>
              <w:t>年</w:t>
            </w:r>
            <w:r>
              <w:rPr>
                <w:rFonts w:hint="eastAsia" w:ascii="Times New Roman" w:hAnsi="Times New Roman" w:eastAsia="宋体"/>
                <w:sz w:val="21"/>
                <w:szCs w:val="21"/>
              </w:rPr>
              <w:t>9</w:t>
            </w:r>
            <w:r>
              <w:rPr>
                <w:rFonts w:ascii="Times New Roman" w:hAnsi="Times New Roman" w:eastAsia="宋体"/>
                <w:sz w:val="21"/>
                <w:szCs w:val="21"/>
              </w:rPr>
              <w:t>月</w:t>
            </w:r>
            <w:r>
              <w:rPr>
                <w:rFonts w:hint="eastAsia" w:ascii="Times New Roman" w:hAnsi="Times New Roman" w:eastAsia="宋体"/>
                <w:sz w:val="21"/>
                <w:szCs w:val="21"/>
              </w:rPr>
              <w:t>28</w:t>
            </w:r>
            <w:r>
              <w:rPr>
                <w:rFonts w:ascii="Times New Roman" w:hAnsi="Times New Roman" w:eastAsia="宋体"/>
                <w:sz w:val="21"/>
                <w:szCs w:val="21"/>
              </w:rPr>
              <w:t>日至</w:t>
            </w:r>
            <w:r>
              <w:rPr>
                <w:rFonts w:hint="eastAsia" w:ascii="Times New Roman" w:hAnsi="Times New Roman" w:eastAsia="宋体"/>
                <w:sz w:val="21"/>
                <w:szCs w:val="21"/>
              </w:rPr>
              <w:t>29</w:t>
            </w:r>
            <w:r>
              <w:rPr>
                <w:rFonts w:ascii="Times New Roman" w:hAnsi="Times New Roman" w:eastAsia="宋体"/>
                <w:sz w:val="21"/>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环评报告表</w:t>
            </w:r>
          </w:p>
          <w:p>
            <w:pPr>
              <w:jc w:val="center"/>
              <w:rPr>
                <w:rFonts w:ascii="Times New Roman" w:hAnsi="Times New Roman" w:eastAsia="宋体"/>
                <w:color w:val="000000"/>
                <w:sz w:val="21"/>
                <w:szCs w:val="21"/>
              </w:rPr>
            </w:pPr>
            <w:r>
              <w:rPr>
                <w:rFonts w:ascii="Times New Roman" w:hAnsi="Times New Roman" w:eastAsia="宋体"/>
                <w:color w:val="000000"/>
                <w:sz w:val="21"/>
                <w:szCs w:val="21"/>
              </w:rPr>
              <w:t>审批部门</w:t>
            </w:r>
          </w:p>
        </w:tc>
        <w:tc>
          <w:tcPr>
            <w:tcW w:w="2025" w:type="dxa"/>
            <w:vAlign w:val="center"/>
          </w:tcPr>
          <w:p>
            <w:pPr>
              <w:jc w:val="center"/>
              <w:rPr>
                <w:rFonts w:ascii="Times New Roman" w:hAnsi="Times New Roman" w:eastAsia="宋体"/>
                <w:sz w:val="21"/>
                <w:szCs w:val="21"/>
              </w:rPr>
            </w:pPr>
            <w:r>
              <w:rPr>
                <w:rFonts w:hint="eastAsia" w:ascii="Times New Roman" w:hAnsi="Times New Roman" w:eastAsia="宋体"/>
                <w:sz w:val="21"/>
                <w:szCs w:val="21"/>
              </w:rPr>
              <w:t>道真仡佬族苗族自治县环境保护局</w:t>
            </w:r>
          </w:p>
        </w:tc>
        <w:tc>
          <w:tcPr>
            <w:tcW w:w="1965" w:type="dxa"/>
            <w:vAlign w:val="center"/>
          </w:tcPr>
          <w:p>
            <w:pPr>
              <w:jc w:val="center"/>
              <w:rPr>
                <w:rFonts w:ascii="Times New Roman" w:hAnsi="Times New Roman" w:eastAsia="宋体"/>
                <w:sz w:val="21"/>
                <w:szCs w:val="21"/>
              </w:rPr>
            </w:pPr>
            <w:r>
              <w:rPr>
                <w:rFonts w:ascii="Times New Roman" w:hAnsi="Times New Roman" w:eastAsia="宋体"/>
                <w:sz w:val="21"/>
                <w:szCs w:val="21"/>
              </w:rPr>
              <w:t>环评报告表</w:t>
            </w:r>
          </w:p>
          <w:p>
            <w:pPr>
              <w:jc w:val="center"/>
              <w:rPr>
                <w:rFonts w:ascii="Times New Roman" w:hAnsi="Times New Roman" w:eastAsia="宋体"/>
                <w:sz w:val="21"/>
                <w:szCs w:val="21"/>
              </w:rPr>
            </w:pPr>
            <w:r>
              <w:rPr>
                <w:rFonts w:ascii="Times New Roman" w:hAnsi="Times New Roman" w:eastAsia="宋体"/>
                <w:sz w:val="21"/>
                <w:szCs w:val="21"/>
              </w:rPr>
              <w:t>编制单位</w:t>
            </w:r>
          </w:p>
        </w:tc>
        <w:tc>
          <w:tcPr>
            <w:tcW w:w="3674" w:type="dxa"/>
            <w:gridSpan w:val="3"/>
            <w:vAlign w:val="center"/>
          </w:tcPr>
          <w:p>
            <w:pPr>
              <w:jc w:val="center"/>
              <w:rPr>
                <w:rFonts w:ascii="Times New Roman" w:hAnsi="Times New Roman" w:eastAsia="宋体"/>
                <w:sz w:val="21"/>
                <w:szCs w:val="21"/>
              </w:rPr>
            </w:pPr>
            <w:r>
              <w:rPr>
                <w:rFonts w:hint="eastAsia" w:ascii="Times New Roman" w:hAnsi="Times New Roman" w:eastAsia="宋体"/>
                <w:sz w:val="21"/>
                <w:szCs w:val="21"/>
              </w:rPr>
              <w:t>广州市环境保护工程设计院有限公司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环保设施设计单位</w:t>
            </w:r>
          </w:p>
        </w:tc>
        <w:tc>
          <w:tcPr>
            <w:tcW w:w="2025" w:type="dxa"/>
            <w:vAlign w:val="center"/>
          </w:tcPr>
          <w:p>
            <w:pPr>
              <w:jc w:val="center"/>
              <w:rPr>
                <w:rFonts w:ascii="Times New Roman" w:hAnsi="Times New Roman" w:eastAsia="宋体"/>
                <w:color w:val="000000"/>
                <w:sz w:val="21"/>
                <w:szCs w:val="21"/>
              </w:rPr>
            </w:pPr>
            <w:r>
              <w:rPr>
                <w:rFonts w:ascii="Times New Roman" w:hAnsi="Times New Roman" w:eastAsia="宋体"/>
                <w:b/>
                <w:bCs/>
                <w:color w:val="000000"/>
                <w:sz w:val="21"/>
                <w:szCs w:val="21"/>
              </w:rPr>
              <w:t>/</w:t>
            </w:r>
          </w:p>
        </w:tc>
        <w:tc>
          <w:tcPr>
            <w:tcW w:w="1965"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环保设施施工单位</w:t>
            </w:r>
          </w:p>
        </w:tc>
        <w:tc>
          <w:tcPr>
            <w:tcW w:w="3674" w:type="dxa"/>
            <w:gridSpan w:val="3"/>
            <w:vAlign w:val="center"/>
          </w:tcPr>
          <w:p>
            <w:pPr>
              <w:jc w:val="center"/>
              <w:rPr>
                <w:rFonts w:ascii="Times New Roman" w:hAnsi="Times New Roman" w:eastAsia="宋体"/>
                <w:color w:val="000000"/>
                <w:sz w:val="21"/>
                <w:szCs w:val="21"/>
              </w:rPr>
            </w:pPr>
            <w:r>
              <w:rPr>
                <w:rFonts w:ascii="Times New Roman" w:hAnsi="Times New Roman" w:eastAsia="宋体"/>
                <w:b/>
                <w:bCs/>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投资总概算</w:t>
            </w:r>
            <w:r>
              <w:rPr>
                <w:rFonts w:hint="eastAsia" w:ascii="Times New Roman" w:hAnsi="Times New Roman" w:eastAsia="宋体"/>
                <w:color w:val="000000"/>
                <w:sz w:val="21"/>
                <w:szCs w:val="21"/>
              </w:rPr>
              <w:t>（万元）</w:t>
            </w:r>
          </w:p>
        </w:tc>
        <w:tc>
          <w:tcPr>
            <w:tcW w:w="2025" w:type="dxa"/>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25000</w:t>
            </w:r>
          </w:p>
        </w:tc>
        <w:tc>
          <w:tcPr>
            <w:tcW w:w="1965"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环保投资总概算</w:t>
            </w:r>
          </w:p>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（万元）</w:t>
            </w:r>
          </w:p>
        </w:tc>
        <w:tc>
          <w:tcPr>
            <w:tcW w:w="1686" w:type="dxa"/>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500</w:t>
            </w:r>
          </w:p>
        </w:tc>
        <w:tc>
          <w:tcPr>
            <w:tcW w:w="845"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比例</w:t>
            </w:r>
          </w:p>
        </w:tc>
        <w:tc>
          <w:tcPr>
            <w:tcW w:w="1143" w:type="dxa"/>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实际总概算</w:t>
            </w:r>
            <w:r>
              <w:rPr>
                <w:rFonts w:hint="eastAsia" w:ascii="Times New Roman" w:hAnsi="Times New Roman" w:eastAsia="宋体"/>
                <w:color w:val="000000"/>
                <w:sz w:val="21"/>
                <w:szCs w:val="21"/>
              </w:rPr>
              <w:t>（万元）</w:t>
            </w:r>
          </w:p>
        </w:tc>
        <w:tc>
          <w:tcPr>
            <w:tcW w:w="2025" w:type="dxa"/>
            <w:vAlign w:val="center"/>
          </w:tcPr>
          <w:p>
            <w:pPr>
              <w:jc w:val="center"/>
              <w:rPr>
                <w:rFonts w:ascii="Times New Roman" w:hAnsi="Times New Roman" w:eastAsia="宋体"/>
                <w:color w:val="000000"/>
                <w:sz w:val="21"/>
                <w:szCs w:val="21"/>
              </w:rPr>
            </w:pPr>
            <w:r>
              <w:rPr>
                <w:rFonts w:ascii="Times New Roman" w:hAnsi="Times New Roman" w:eastAsia="宋体"/>
                <w:b/>
                <w:bCs/>
                <w:color w:val="000000"/>
                <w:sz w:val="21"/>
                <w:szCs w:val="21"/>
              </w:rPr>
              <w:t>/</w:t>
            </w:r>
          </w:p>
        </w:tc>
        <w:tc>
          <w:tcPr>
            <w:tcW w:w="1965"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环保投资</w:t>
            </w:r>
          </w:p>
        </w:tc>
        <w:tc>
          <w:tcPr>
            <w:tcW w:w="1686" w:type="dxa"/>
            <w:vAlign w:val="center"/>
          </w:tcPr>
          <w:p>
            <w:pPr>
              <w:jc w:val="center"/>
              <w:rPr>
                <w:rFonts w:ascii="Times New Roman" w:hAnsi="Times New Roman" w:eastAsia="宋体"/>
                <w:color w:val="000000"/>
                <w:sz w:val="21"/>
                <w:szCs w:val="21"/>
              </w:rPr>
            </w:pPr>
            <w:r>
              <w:rPr>
                <w:rFonts w:ascii="Times New Roman" w:hAnsi="Times New Roman" w:eastAsia="宋体"/>
                <w:b/>
                <w:bCs/>
                <w:color w:val="000000"/>
                <w:sz w:val="21"/>
                <w:szCs w:val="21"/>
              </w:rPr>
              <w:t>/</w:t>
            </w:r>
          </w:p>
        </w:tc>
        <w:tc>
          <w:tcPr>
            <w:tcW w:w="845"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比例</w:t>
            </w:r>
          </w:p>
        </w:tc>
        <w:tc>
          <w:tcPr>
            <w:tcW w:w="1143" w:type="dxa"/>
            <w:vAlign w:val="center"/>
          </w:tcPr>
          <w:p>
            <w:pPr>
              <w:jc w:val="center"/>
              <w:rPr>
                <w:rFonts w:ascii="Times New Roman" w:hAnsi="Times New Roman" w:eastAsia="宋体"/>
                <w:color w:val="000000"/>
                <w:sz w:val="21"/>
                <w:szCs w:val="21"/>
              </w:rPr>
            </w:pPr>
            <w:r>
              <w:rPr>
                <w:rFonts w:ascii="Times New Roman" w:hAnsi="Times New Roman" w:eastAsia="宋体"/>
                <w:b/>
                <w:bCs/>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90"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验收监测依据</w:t>
            </w:r>
          </w:p>
        </w:tc>
        <w:tc>
          <w:tcPr>
            <w:tcW w:w="7664" w:type="dxa"/>
            <w:gridSpan w:val="5"/>
            <w:vAlign w:val="center"/>
          </w:tcPr>
          <w:p>
            <w:pPr>
              <w:pStyle w:val="2"/>
              <w:spacing w:line="380" w:lineRule="exact"/>
              <w:rPr>
                <w:rFonts w:ascii="Times New Roman" w:hAnsi="Times New Roman" w:cs="Times New Roman"/>
                <w:sz w:val="21"/>
                <w:szCs w:val="21"/>
              </w:rPr>
            </w:pPr>
            <w:r>
              <w:rPr>
                <w:rFonts w:ascii="Times New Roman" w:hAnsi="Times New Roman" w:cs="Times New Roman"/>
                <w:sz w:val="21"/>
                <w:szCs w:val="21"/>
              </w:rPr>
              <w:t>1、《中华人民共和国环境保护法》，2015.1.1；</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2、《中华人民共和国大气污染防治法》，2016.1.1；</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3、《中华人民共和国水污染防治法》，2018.1.1；</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4、《中华人民共和国固体废物污染环境防治法》，2016.11.7；</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5、《中华人民共和国环境噪声污染防治法》，1997.3.1；</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6、《中华人民共和国环境影响评价法》201</w:t>
            </w:r>
            <w:r>
              <w:rPr>
                <w:rFonts w:hint="eastAsia" w:ascii="Times New Roman" w:hAnsi="Times New Roman" w:cs="Times New Roman"/>
                <w:sz w:val="21"/>
                <w:szCs w:val="21"/>
              </w:rPr>
              <w:t>8.12.29</w:t>
            </w:r>
            <w:r>
              <w:rPr>
                <w:rFonts w:ascii="Times New Roman" w:hAnsi="Times New Roman" w:cs="Times New Roman"/>
                <w:sz w:val="21"/>
                <w:szCs w:val="21"/>
              </w:rPr>
              <w:t>；</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7、生态环境部公告2018第9号关于发布《建设项目竣工环境保护验收技术指南 污染影响类》的公告，2018.5.15</w:t>
            </w:r>
            <w:r>
              <w:rPr>
                <w:rFonts w:hint="eastAsia" w:ascii="Times New Roman" w:hAnsi="Times New Roman" w:cs="Times New Roman"/>
                <w:sz w:val="21"/>
                <w:szCs w:val="21"/>
              </w:rPr>
              <w:t>；</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8、中华人民共和国国务院令第 682 号《建设项目环境保护管理条例》，2017.10.1</w:t>
            </w:r>
            <w:r>
              <w:rPr>
                <w:rFonts w:hint="eastAsia" w:ascii="Times New Roman" w:hAnsi="Times New Roman" w:cs="Times New Roman"/>
                <w:sz w:val="21"/>
                <w:szCs w:val="21"/>
              </w:rPr>
              <w:t>；</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 xml:space="preserve">9、环境保护部文件 国环规环评[2017]4 号《建设项目环境保护竣工验收暂行办法》 </w:t>
            </w:r>
            <w:r>
              <w:rPr>
                <w:rFonts w:hint="eastAsia" w:ascii="Times New Roman" w:hAnsi="Times New Roman" w:cs="Times New Roman"/>
                <w:sz w:val="21"/>
                <w:szCs w:val="21"/>
              </w:rPr>
              <w:t>；</w:t>
            </w:r>
          </w:p>
          <w:p>
            <w:pPr>
              <w:pStyle w:val="2"/>
              <w:spacing w:line="380" w:lineRule="exact"/>
              <w:rPr>
                <w:rFonts w:ascii="Times New Roman" w:hAnsi="Times New Roman" w:cs="Times New Roman"/>
                <w:sz w:val="21"/>
                <w:szCs w:val="21"/>
              </w:rPr>
            </w:pPr>
            <w:r>
              <w:rPr>
                <w:rFonts w:ascii="Times New Roman" w:hAnsi="Times New Roman" w:cs="Times New Roman"/>
                <w:sz w:val="21"/>
                <w:szCs w:val="21"/>
              </w:rPr>
              <w:t xml:space="preserve">10、《国家危险废物名录》 （2016 年版） 环境保护部令第 39 号； </w:t>
            </w:r>
          </w:p>
          <w:p>
            <w:pPr>
              <w:pStyle w:val="2"/>
              <w:spacing w:line="380" w:lineRule="exact"/>
              <w:rPr>
                <w:rFonts w:ascii="Times New Roman" w:hAnsi="Times New Roman" w:cs="Times New Roman"/>
                <w:sz w:val="21"/>
                <w:szCs w:val="21"/>
              </w:rPr>
            </w:pPr>
            <w:r>
              <w:rPr>
                <w:rFonts w:hint="eastAsia" w:ascii="Times New Roman" w:hAnsi="Times New Roman" w:cs="Times New Roman"/>
                <w:sz w:val="21"/>
                <w:szCs w:val="21"/>
              </w:rPr>
              <w:t>11、</w:t>
            </w:r>
            <w:r>
              <w:rPr>
                <w:rFonts w:ascii="Times New Roman" w:hAnsi="Times New Roman" w:cs="Times New Roman"/>
                <w:sz w:val="21"/>
                <w:szCs w:val="21"/>
              </w:rPr>
              <w:t>环境保护部《关于印发建设项目竣工环境保护验收现场检查及审查要点的通知》（环办[2015]113号）</w:t>
            </w:r>
            <w:r>
              <w:rPr>
                <w:rFonts w:hint="eastAsia" w:ascii="Times New Roman" w:hAnsi="Times New Roman" w:cs="Times New Roman"/>
                <w:sz w:val="21"/>
                <w:szCs w:val="21"/>
              </w:rPr>
              <w:t>；</w:t>
            </w:r>
          </w:p>
          <w:p>
            <w:pPr>
              <w:pStyle w:val="2"/>
              <w:spacing w:line="380" w:lineRule="exact"/>
              <w:rPr>
                <w:rFonts w:ascii="Times New Roman" w:hAnsi="Times New Roman" w:cs="Times New Roman"/>
                <w:sz w:val="21"/>
                <w:szCs w:val="21"/>
              </w:rPr>
            </w:pPr>
            <w:r>
              <w:rPr>
                <w:rFonts w:hint="eastAsia" w:ascii="Times New Roman" w:hAnsi="Times New Roman" w:cs="Times New Roman"/>
                <w:sz w:val="21"/>
                <w:szCs w:val="21"/>
              </w:rPr>
              <w:t>12</w:t>
            </w:r>
            <w:r>
              <w:rPr>
                <w:rFonts w:ascii="Times New Roman" w:hAnsi="Times New Roman" w:cs="Times New Roman"/>
                <w:sz w:val="21"/>
                <w:szCs w:val="21"/>
              </w:rPr>
              <w:t>、《</w:t>
            </w:r>
            <w:r>
              <w:rPr>
                <w:rFonts w:hint="eastAsia" w:ascii="Times New Roman" w:hAnsi="Times New Roman" w:cs="Times New Roman"/>
                <w:sz w:val="21"/>
                <w:szCs w:val="21"/>
              </w:rPr>
              <w:t>道真金瑞中心城一期房地产开发建设项目环境影响报告表</w:t>
            </w:r>
            <w:r>
              <w:rPr>
                <w:rFonts w:ascii="Times New Roman" w:hAnsi="Times New Roman" w:cs="Times New Roman"/>
                <w:sz w:val="21"/>
                <w:szCs w:val="21"/>
              </w:rPr>
              <w:t>》</w:t>
            </w:r>
            <w:r>
              <w:rPr>
                <w:rFonts w:hint="eastAsia" w:ascii="Times New Roman" w:hAnsi="Times New Roman" w:cs="Times New Roman"/>
                <w:sz w:val="21"/>
                <w:szCs w:val="21"/>
              </w:rPr>
              <w:t>；</w:t>
            </w:r>
          </w:p>
          <w:p>
            <w:pPr>
              <w:pStyle w:val="2"/>
              <w:spacing w:line="380" w:lineRule="exact"/>
              <w:rPr>
                <w:rFonts w:ascii="Times New Roman" w:hAnsi="Times New Roman" w:cs="Times New Roman"/>
                <w:sz w:val="21"/>
                <w:szCs w:val="21"/>
              </w:rPr>
            </w:pPr>
            <w:r>
              <w:rPr>
                <w:rFonts w:hint="eastAsia" w:ascii="Times New Roman" w:hAnsi="Times New Roman" w:cs="Times New Roman"/>
                <w:sz w:val="21"/>
                <w:szCs w:val="21"/>
              </w:rPr>
              <w:t>13、道真仡佬族苗族自治县环境保护局道环评复[2014]85号</w:t>
            </w:r>
            <w:r>
              <w:rPr>
                <w:rFonts w:ascii="Times New Roman" w:hAnsi="Times New Roman" w:cs="Times New Roman"/>
                <w:sz w:val="21"/>
                <w:szCs w:val="21"/>
              </w:rPr>
              <w:t>文件《</w:t>
            </w:r>
            <w:r>
              <w:rPr>
                <w:rFonts w:hint="eastAsia" w:ascii="Times New Roman" w:hAnsi="Times New Roman" w:cs="Times New Roman"/>
                <w:sz w:val="21"/>
                <w:szCs w:val="21"/>
              </w:rPr>
              <w:t>关于道真金瑞中心城一期房地产开发建设项目环境影响报告表</w:t>
            </w:r>
            <w:r>
              <w:rPr>
                <w:rFonts w:ascii="Times New Roman" w:hAnsi="Times New Roman" w:cs="Times New Roman"/>
                <w:sz w:val="21"/>
                <w:szCs w:val="21"/>
              </w:rPr>
              <w:t>》</w:t>
            </w:r>
            <w:r>
              <w:rPr>
                <w:rFonts w:hint="eastAsia" w:ascii="Times New Roman" w:hAnsi="Times New Roman" w:cs="Times New Roman"/>
                <w:sz w:val="21"/>
                <w:szCs w:val="21"/>
              </w:rPr>
              <w:t>的审批意见。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270" w:hRule="atLeast"/>
          <w:jc w:val="center"/>
        </w:trPr>
        <w:tc>
          <w:tcPr>
            <w:tcW w:w="2190" w:type="dxa"/>
            <w:vAlign w:val="center"/>
          </w:tcPr>
          <w:p>
            <w:pP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验收监测评价标准、标号、级别、限值</w:t>
            </w:r>
          </w:p>
        </w:tc>
        <w:tc>
          <w:tcPr>
            <w:tcW w:w="7664" w:type="dxa"/>
            <w:gridSpan w:val="5"/>
          </w:tcPr>
          <w:p>
            <w:pPr>
              <w:spacing w:line="120" w:lineRule="auto"/>
              <w:rPr>
                <w:rFonts w:ascii="Times New Roman" w:hAnsi="Times New Roman" w:eastAsia="宋体"/>
                <w:color w:val="000000" w:themeColor="text1"/>
                <w:sz w:val="21"/>
                <w:szCs w:val="21"/>
              </w:rPr>
            </w:pPr>
          </w:p>
          <w:p>
            <w:pPr>
              <w:spacing w:line="36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1、废水：执行《污水综合排放标准》（GB8978-1996）表4三级标准</w:t>
            </w:r>
          </w:p>
          <w:tbl>
            <w:tblPr>
              <w:tblStyle w:val="12"/>
              <w:tblW w:w="7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000"/>
              <w:gridCol w:w="41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85"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类别</w:t>
                  </w: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项目</w:t>
                  </w:r>
                </w:p>
              </w:tc>
              <w:tc>
                <w:tcPr>
                  <w:tcW w:w="4135" w:type="dxa"/>
                  <w:tcBorders>
                    <w:bottom w:val="single" w:color="000000" w:sz="4" w:space="0"/>
                    <w:tl2br w:val="nil"/>
                    <w:tr2bl w:val="nil"/>
                  </w:tcBorders>
                  <w:vAlign w:val="center"/>
                </w:tcPr>
                <w:p>
                  <w:pPr>
                    <w:widowControl w:val="0"/>
                    <w:adjustRightInd/>
                    <w:snapToGrid/>
                    <w:spacing w:before="65"/>
                    <w:ind w:right="-20"/>
                    <w:jc w:val="center"/>
                    <w:rPr>
                      <w:rFonts w:ascii="Times New Roman" w:hAnsi="Times New Roman" w:eastAsia="宋体"/>
                      <w:color w:val="000000"/>
                      <w:sz w:val="21"/>
                      <w:szCs w:val="21"/>
                    </w:rPr>
                  </w:pPr>
                  <w:r>
                    <w:rPr>
                      <w:rFonts w:ascii="Times New Roman" w:hAnsi="Times New Roman" w:eastAsia="宋体"/>
                      <w:color w:val="000000" w:themeColor="text1"/>
                      <w:sz w:val="21"/>
                      <w:szCs w:val="21"/>
                    </w:rPr>
                    <w:t>标准限值</w:t>
                  </w:r>
                  <w:r>
                    <w:rPr>
                      <w:rFonts w:hint="eastAsia" w:ascii="Times New Roman" w:hAnsi="Times New Roman" w:eastAsia="宋体"/>
                      <w:color w:val="000000"/>
                      <w:sz w:val="21"/>
                      <w:szCs w:val="21"/>
                    </w:rPr>
                    <w:t>（</w:t>
                  </w:r>
                  <w:r>
                    <w:rPr>
                      <w:rFonts w:ascii="Times New Roman" w:hAnsi="Times New Roman" w:eastAsia="宋体"/>
                      <w:color w:val="000000"/>
                      <w:sz w:val="21"/>
                      <w:szCs w:val="21"/>
                    </w:rPr>
                    <w:t>mg/</w:t>
                  </w:r>
                  <w:r>
                    <w:rPr>
                      <w:rFonts w:hint="eastAsia" w:ascii="Times New Roman" w:hAnsi="Times New Roman" w:eastAsia="宋体"/>
                      <w:color w:val="000000"/>
                      <w:sz w:val="21"/>
                      <w:szCs w:val="21"/>
                    </w:rPr>
                    <w:t>L、pH无量纲、</w:t>
                  </w:r>
                </w:p>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粪大肠菌群MPN/L）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85" w:type="dxa"/>
                  <w:vMerge w:val="restart"/>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废水</w:t>
                  </w: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pH</w:t>
                  </w:r>
                </w:p>
              </w:tc>
              <w:tc>
                <w:tcPr>
                  <w:tcW w:w="4135" w:type="dxa"/>
                  <w:tcBorders>
                    <w:bottom w:val="single" w:color="000000" w:sz="4" w:space="0"/>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85" w:type="dxa"/>
                  <w:vMerge w:val="continue"/>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化学需氧量</w:t>
                  </w:r>
                </w:p>
              </w:tc>
              <w:tc>
                <w:tcPr>
                  <w:tcW w:w="4135"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85" w:type="dxa"/>
                  <w:vMerge w:val="continue"/>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BOD</w:t>
                  </w:r>
                  <w:r>
                    <w:rPr>
                      <w:rFonts w:hint="eastAsia" w:ascii="Times New Roman" w:hAnsi="Times New Roman" w:eastAsia="宋体"/>
                      <w:color w:val="000000" w:themeColor="text1"/>
                      <w:sz w:val="21"/>
                      <w:szCs w:val="21"/>
                      <w:vertAlign w:val="subscript"/>
                    </w:rPr>
                    <w:t>5</w:t>
                  </w:r>
                </w:p>
              </w:tc>
              <w:tc>
                <w:tcPr>
                  <w:tcW w:w="4135"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85" w:type="dxa"/>
                  <w:vMerge w:val="continue"/>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氨氮</w:t>
                  </w:r>
                </w:p>
              </w:tc>
              <w:tc>
                <w:tcPr>
                  <w:tcW w:w="4135"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85" w:type="dxa"/>
                  <w:vMerge w:val="continue"/>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动植物油</w:t>
                  </w:r>
                </w:p>
              </w:tc>
              <w:tc>
                <w:tcPr>
                  <w:tcW w:w="4135" w:type="dxa"/>
                  <w:tcBorders>
                    <w:tl2br w:val="nil"/>
                    <w:tr2bl w:val="nil"/>
                  </w:tcBorders>
                  <w:vAlign w:val="center"/>
                </w:tcPr>
                <w:p>
                  <w:pPr>
                    <w:widowControl w:val="0"/>
                    <w:adjustRightInd/>
                    <w:snapToGrid/>
                    <w:spacing w:before="65"/>
                    <w:ind w:right="-2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85" w:type="dxa"/>
                  <w:vMerge w:val="continue"/>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p>
              </w:tc>
              <w:tc>
                <w:tcPr>
                  <w:tcW w:w="200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粪大肠菌群</w:t>
                  </w:r>
                </w:p>
              </w:tc>
              <w:tc>
                <w:tcPr>
                  <w:tcW w:w="4135"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85"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备注</w:t>
                  </w:r>
                </w:p>
              </w:tc>
              <w:tc>
                <w:tcPr>
                  <w:tcW w:w="6135" w:type="dxa"/>
                  <w:gridSpan w:val="2"/>
                  <w:tcBorders>
                    <w:tl2br w:val="nil"/>
                    <w:tr2bl w:val="nil"/>
                  </w:tcBorders>
                  <w:vAlign w:val="center"/>
                </w:tcPr>
                <w:p>
                  <w:pPr>
                    <w:widowControl w:val="0"/>
                    <w:adjustRightInd/>
                    <w:snapToGrid/>
                    <w:spacing w:before="65"/>
                    <w:ind w:right="-2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“---”标准标准中未对该项目做限制。</w:t>
                  </w:r>
                </w:p>
              </w:tc>
            </w:tr>
          </w:tbl>
          <w:p>
            <w:pPr>
              <w:pStyle w:val="2"/>
              <w:spacing w:line="360" w:lineRule="auto"/>
              <w:rPr>
                <w:rFonts w:ascii="Times New Roman" w:hAnsi="Times New Roman" w:cs="Times New Roman"/>
                <w:color w:val="000000" w:themeColor="text1"/>
                <w:sz w:val="21"/>
                <w:szCs w:val="21"/>
              </w:rPr>
            </w:pPr>
          </w:p>
          <w:p>
            <w:pPr>
              <w:pStyle w:val="2"/>
              <w:spacing w:line="360" w:lineRule="auto"/>
              <w:rPr>
                <w:rFonts w:ascii="Times New Roman" w:hAnsi="Times New Roman" w:cs="Times New Roman"/>
                <w:color w:val="C00000"/>
                <w:sz w:val="21"/>
                <w:szCs w:val="21"/>
              </w:rPr>
            </w:pPr>
            <w:r>
              <w:rPr>
                <w:rFonts w:hint="eastAsia" w:ascii="Times New Roman" w:hAnsi="Times New Roman" w:cs="Times New Roman"/>
                <w:color w:val="000000" w:themeColor="text1"/>
                <w:sz w:val="21"/>
                <w:szCs w:val="21"/>
              </w:rPr>
              <w:t>2、</w:t>
            </w:r>
            <w:r>
              <w:rPr>
                <w:rFonts w:ascii="Times New Roman" w:hAnsi="Times New Roman" w:cs="Times New Roman"/>
                <w:color w:val="000000" w:themeColor="text1"/>
                <w:sz w:val="21"/>
                <w:szCs w:val="21"/>
              </w:rPr>
              <w:t>废气：执行《</w:t>
            </w:r>
            <w:r>
              <w:rPr>
                <w:rFonts w:hint="eastAsia" w:ascii="Times New Roman" w:hAnsi="Times New Roman" w:cs="Times New Roman"/>
                <w:color w:val="000000" w:themeColor="text1"/>
                <w:sz w:val="21"/>
                <w:szCs w:val="21"/>
              </w:rPr>
              <w:t>恶臭污染物排放标准</w:t>
            </w:r>
            <w:r>
              <w:rPr>
                <w:rFonts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GB14554-93</w:t>
            </w:r>
            <w:r>
              <w:rPr>
                <w:rFonts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表1</w:t>
            </w:r>
          </w:p>
          <w:tbl>
            <w:tblPr>
              <w:tblStyle w:val="12"/>
              <w:tblW w:w="744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2160"/>
              <w:gridCol w:w="39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377"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类别</w:t>
                  </w:r>
                </w:p>
              </w:tc>
              <w:tc>
                <w:tcPr>
                  <w:tcW w:w="216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项目</w:t>
                  </w:r>
                </w:p>
              </w:tc>
              <w:tc>
                <w:tcPr>
                  <w:tcW w:w="3911"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标准限值（无量纲）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377"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废气</w:t>
                  </w:r>
                </w:p>
              </w:tc>
              <w:tc>
                <w:tcPr>
                  <w:tcW w:w="216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臭气浓度</w:t>
                  </w:r>
                </w:p>
              </w:tc>
              <w:tc>
                <w:tcPr>
                  <w:tcW w:w="3911"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sz w:val="21"/>
                      <w:szCs w:val="21"/>
                    </w:rPr>
                    <w:t>20</w:t>
                  </w:r>
                </w:p>
              </w:tc>
            </w:tr>
          </w:tbl>
          <w:p>
            <w:pPr>
              <w:pStyle w:val="2"/>
              <w:rPr>
                <w:rFonts w:ascii="Times New Roman" w:hAnsi="Times New Roman" w:cs="Times New Roman"/>
                <w:color w:val="000000" w:themeColor="text1"/>
                <w:sz w:val="21"/>
                <w:szCs w:val="21"/>
              </w:rPr>
            </w:pPr>
          </w:p>
          <w:p>
            <w:pPr>
              <w:pStyle w:val="2"/>
              <w:spacing w:line="360" w:lineRule="auto"/>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w:t>
            </w:r>
            <w:r>
              <w:rPr>
                <w:rFonts w:ascii="Times New Roman" w:hAnsi="Times New Roman" w:cs="Times New Roman"/>
                <w:color w:val="000000" w:themeColor="text1"/>
                <w:sz w:val="21"/>
                <w:szCs w:val="21"/>
              </w:rPr>
              <w:t>噪声：</w:t>
            </w:r>
            <w:r>
              <w:rPr>
                <w:rFonts w:hint="eastAsia" w:ascii="Times New Roman" w:hAnsi="Times New Roman" w:cs="Times New Roman"/>
                <w:color w:val="000000" w:themeColor="text1"/>
                <w:sz w:val="21"/>
                <w:szCs w:val="21"/>
              </w:rPr>
              <w:t>执行《工业企业厂界环境噪声排放标准》（GB12348-2008）2类</w:t>
            </w:r>
            <w:r>
              <w:rPr>
                <w:rFonts w:ascii="Times New Roman" w:hAnsi="Times New Roman" w:cs="Times New Roman"/>
                <w:color w:val="000000" w:themeColor="text1"/>
                <w:sz w:val="21"/>
                <w:szCs w:val="21"/>
              </w:rPr>
              <w:t>标准</w:t>
            </w:r>
          </w:p>
          <w:tbl>
            <w:tblPr>
              <w:tblStyle w:val="12"/>
              <w:tblW w:w="744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2560"/>
              <w:gridCol w:w="32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607"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类别</w:t>
                  </w:r>
                </w:p>
              </w:tc>
              <w:tc>
                <w:tcPr>
                  <w:tcW w:w="256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项目</w:t>
                  </w:r>
                </w:p>
              </w:tc>
              <w:tc>
                <w:tcPr>
                  <w:tcW w:w="3281" w:type="dxa"/>
                  <w:tcBorders>
                    <w:bottom w:val="single" w:color="000000" w:sz="4" w:space="0"/>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标准限值（Leq[dB(A)]）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vMerge w:val="restart"/>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噪声</w:t>
                  </w:r>
                </w:p>
              </w:tc>
              <w:tc>
                <w:tcPr>
                  <w:tcW w:w="256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昼间</w:t>
                  </w:r>
                </w:p>
              </w:tc>
              <w:tc>
                <w:tcPr>
                  <w:tcW w:w="328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vMerge w:val="continue"/>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p>
              </w:tc>
              <w:tc>
                <w:tcPr>
                  <w:tcW w:w="2560" w:type="dxa"/>
                  <w:tcBorders>
                    <w:tl2br w:val="nil"/>
                    <w:tr2bl w:val="nil"/>
                  </w:tcBorders>
                  <w:vAlign w:val="center"/>
                </w:tcPr>
                <w:p>
                  <w:pPr>
                    <w:widowControl w:val="0"/>
                    <w:adjustRightInd/>
                    <w:snapToGrid/>
                    <w:spacing w:before="65"/>
                    <w:ind w:right="-2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夜间</w:t>
                  </w:r>
                </w:p>
              </w:tc>
              <w:tc>
                <w:tcPr>
                  <w:tcW w:w="328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50</w:t>
                  </w:r>
                </w:p>
              </w:tc>
            </w:tr>
          </w:tbl>
          <w:p>
            <w:pPr>
              <w:pStyle w:val="2"/>
              <w:rPr>
                <w:rFonts w:ascii="Times New Roman" w:hAnsi="Times New Roman" w:cs="Times New Roman"/>
                <w:color w:val="000000" w:themeColor="text1"/>
                <w:sz w:val="21"/>
                <w:szCs w:val="21"/>
              </w:rPr>
            </w:pPr>
          </w:p>
        </w:tc>
      </w:tr>
    </w:tbl>
    <w:p>
      <w:pPr>
        <w:rPr>
          <w:rFonts w:ascii="Times New Roman" w:hAnsi="Times New Roman" w:eastAsia="仿宋_GB2312"/>
          <w:b/>
          <w:color w:val="000000"/>
          <w:sz w:val="32"/>
          <w:szCs w:val="32"/>
        </w:rPr>
      </w:pPr>
    </w:p>
    <w:p>
      <w:pPr>
        <w:rPr>
          <w:rFonts w:ascii="Times New Roman" w:hAnsi="Times New Roman" w:eastAsia="仿宋_GB2312"/>
          <w:b/>
          <w:color w:val="000000"/>
          <w:sz w:val="32"/>
          <w:szCs w:val="32"/>
        </w:rPr>
      </w:pPr>
    </w:p>
    <w:p>
      <w:pPr>
        <w:rPr>
          <w:rFonts w:ascii="Times New Roman" w:hAnsi="Times New Roman" w:eastAsia="仿宋_GB2312"/>
          <w:b/>
          <w:color w:val="000000"/>
          <w:sz w:val="32"/>
          <w:szCs w:val="32"/>
        </w:rPr>
      </w:pPr>
    </w:p>
    <w:p>
      <w:pPr>
        <w:rPr>
          <w:rFonts w:ascii="Times New Roman" w:hAnsi="Times New Roman" w:eastAsia="仿宋_GB2312"/>
          <w:b/>
          <w:color w:val="000000"/>
          <w:sz w:val="32"/>
          <w:szCs w:val="32"/>
        </w:rPr>
      </w:pPr>
    </w:p>
    <w:p>
      <w:pPr>
        <w:rPr>
          <w:rFonts w:ascii="Times New Roman" w:hAnsi="Times New Roman" w:eastAsia="仿宋_GB2312"/>
          <w:b/>
          <w:color w:val="000000"/>
          <w:sz w:val="32"/>
          <w:szCs w:val="32"/>
        </w:rPr>
      </w:pPr>
      <w:r>
        <w:rPr>
          <w:rFonts w:ascii="Times New Roman" w:hAnsi="Times New Roman" w:eastAsia="仿宋_GB2312"/>
          <w:b/>
          <w:color w:val="000000"/>
          <w:sz w:val="32"/>
          <w:szCs w:val="32"/>
        </w:rPr>
        <w:t>表二</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9" w:hRule="atLeast"/>
        </w:trPr>
        <w:tc>
          <w:tcPr>
            <w:tcW w:w="9854" w:type="dxa"/>
          </w:tcPr>
          <w:p>
            <w:pPr>
              <w:widowControl w:val="0"/>
              <w:numPr>
                <w:ilvl w:val="0"/>
                <w:numId w:val="1"/>
              </w:numPr>
              <w:spacing w:beforeLines="20"/>
              <w:jc w:val="both"/>
              <w:rPr>
                <w:rFonts w:ascii="Times New Roman" w:hAnsi="Times New Roman" w:eastAsia="宋体"/>
                <w:b/>
                <w:bCs/>
                <w:color w:val="000000"/>
                <w:sz w:val="28"/>
                <w:szCs w:val="28"/>
              </w:rPr>
            </w:pPr>
            <w:r>
              <w:rPr>
                <w:rFonts w:ascii="Times New Roman" w:hAnsi="Times New Roman" w:eastAsia="宋体"/>
                <w:b/>
                <w:bCs/>
                <w:color w:val="000000"/>
                <w:sz w:val="28"/>
                <w:szCs w:val="28"/>
              </w:rPr>
              <w:t xml:space="preserve">工程建设内容： </w:t>
            </w:r>
          </w:p>
          <w:p>
            <w:pPr>
              <w:pStyle w:val="2"/>
              <w:spacing w:line="360" w:lineRule="auto"/>
              <w:ind w:firstLine="480" w:firstLineChars="200"/>
              <w:jc w:val="both"/>
              <w:rPr>
                <w:rFonts w:ascii="Times New Roman" w:hAnsi="Times New Roman" w:cs="Times New Roman" w:eastAsiaTheme="minorEastAsia"/>
              </w:rPr>
            </w:pPr>
            <w:r>
              <w:rPr>
                <w:rFonts w:hint="eastAsia" w:ascii="Times New Roman" w:hAnsi="Times New Roman" w:cs="Times New Roman" w:eastAsiaTheme="minorEastAsia"/>
              </w:rPr>
              <w:t>道真县金瑞中心城一期建设项目总建筑面积81729m</w:t>
            </w:r>
            <w:r>
              <w:rPr>
                <w:rFonts w:hint="eastAsia" w:ascii="Times New Roman" w:hAnsi="Times New Roman" w:cs="Times New Roman" w:eastAsiaTheme="minorEastAsia"/>
                <w:vertAlign w:val="superscript"/>
              </w:rPr>
              <w:t>2</w:t>
            </w:r>
            <w:r>
              <w:rPr>
                <w:rFonts w:hint="eastAsia" w:ascii="Times New Roman" w:hAnsi="Times New Roman" w:cs="Times New Roman" w:eastAsiaTheme="minorEastAsia"/>
              </w:rPr>
              <w:t>，其中地上建筑面积68053.1m</w:t>
            </w:r>
            <w:r>
              <w:rPr>
                <w:rFonts w:hint="eastAsia" w:ascii="Times New Roman" w:hAnsi="Times New Roman" w:cs="Times New Roman" w:eastAsiaTheme="minorEastAsia"/>
                <w:vertAlign w:val="superscript"/>
              </w:rPr>
              <w:t>2</w:t>
            </w:r>
            <w:r>
              <w:rPr>
                <w:rFonts w:hint="eastAsia" w:ascii="Times New Roman" w:hAnsi="Times New Roman" w:cs="Times New Roman" w:eastAsiaTheme="minorEastAsia"/>
              </w:rPr>
              <w:t>，包括2#、3#、4#、5#、8#、9#、10#；地下建筑面积13675.9m</w:t>
            </w:r>
            <w:r>
              <w:rPr>
                <w:rFonts w:hint="eastAsia" w:ascii="Times New Roman" w:hAnsi="Times New Roman" w:cs="Times New Roman" w:eastAsiaTheme="minorEastAsia"/>
                <w:vertAlign w:val="superscript"/>
              </w:rPr>
              <w:t>2</w:t>
            </w:r>
            <w:r>
              <w:rPr>
                <w:rFonts w:hint="eastAsia" w:ascii="Times New Roman" w:hAnsi="Times New Roman" w:cs="Times New Roman" w:eastAsiaTheme="minorEastAsia"/>
              </w:rPr>
              <w:t>。项目主要建设内容见表2-1。</w:t>
            </w:r>
          </w:p>
          <w:p>
            <w:pPr>
              <w:widowControl/>
              <w:jc w:val="center"/>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表</w:t>
            </w:r>
            <w:r>
              <w:rPr>
                <w:rFonts w:ascii="Times New Roman" w:hAnsi="Times New Roman" w:eastAsiaTheme="minorEastAsia"/>
                <w:b/>
                <w:bCs/>
                <w:color w:val="000000"/>
                <w:sz w:val="24"/>
                <w:szCs w:val="24"/>
              </w:rPr>
              <w:t xml:space="preserve">2-1 </w:t>
            </w:r>
            <w:r>
              <w:rPr>
                <w:rFonts w:hint="eastAsia" w:asciiTheme="minorEastAsia" w:hAnsiTheme="minorEastAsia" w:eastAsiaTheme="minorEastAsia" w:cstheme="minorEastAsia"/>
                <w:b/>
                <w:bCs/>
                <w:color w:val="000000"/>
                <w:sz w:val="24"/>
                <w:szCs w:val="24"/>
              </w:rPr>
              <w:t>项目主要建设内容一览表</w:t>
            </w:r>
          </w:p>
          <w:tbl>
            <w:tblPr>
              <w:tblStyle w:val="1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162"/>
              <w:gridCol w:w="3275"/>
              <w:gridCol w:w="3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783" w:type="dxa"/>
                  <w:noWrap/>
                  <w:vAlign w:val="center"/>
                </w:tcPr>
                <w:p>
                  <w:pPr>
                    <w:widowControl w:val="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工程类别</w:t>
                  </w:r>
                </w:p>
              </w:tc>
              <w:tc>
                <w:tcPr>
                  <w:tcW w:w="2162" w:type="dxa"/>
                  <w:noWrap/>
                  <w:vAlign w:val="center"/>
                </w:tcPr>
                <w:p>
                  <w:pPr>
                    <w:widowControl w:val="0"/>
                    <w:spacing w:line="400" w:lineRule="exact"/>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工程名称</w:t>
                  </w:r>
                </w:p>
              </w:tc>
              <w:tc>
                <w:tcPr>
                  <w:tcW w:w="3275" w:type="dxa"/>
                  <w:noWrap/>
                  <w:vAlign w:val="center"/>
                </w:tcPr>
                <w:p>
                  <w:pPr>
                    <w:widowControl w:val="0"/>
                    <w:spacing w:line="400" w:lineRule="exact"/>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建设内容</w:t>
                  </w:r>
                </w:p>
              </w:tc>
              <w:tc>
                <w:tcPr>
                  <w:tcW w:w="3408" w:type="dxa"/>
                  <w:noWrap/>
                  <w:vAlign w:val="center"/>
                </w:tcPr>
                <w:p>
                  <w:pPr>
                    <w:widowControl w:val="0"/>
                    <w:spacing w:line="400" w:lineRule="exact"/>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restart"/>
                  <w:noWrap/>
                  <w:vAlign w:val="center"/>
                </w:tcPr>
                <w:p>
                  <w:pPr>
                    <w:widowControl w:val="0"/>
                    <w:spacing w:line="400" w:lineRule="exact"/>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主体工程</w:t>
                  </w: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-1+2+17F，H=62.6m</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-1层为地下车库，+2为商业店铺，商铺以上1~17层为住宅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pStyle w:val="2"/>
                    <w:jc w:val="cente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-1+2+17F，H=62.6m</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-1层为地下车库，+2为商业店铺，商铺以上1~17层为住宅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4#</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+2+6F，H=31.4m</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+2为商业店铺，商铺以上1~6层为住宅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5#</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-1+18F，H=54m</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-1层为地下车库，地上1~18层为住宅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8#</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+3F，H=15.8m</w:t>
                  </w:r>
                </w:p>
              </w:tc>
              <w:tc>
                <w:tcPr>
                  <w:tcW w:w="3408" w:type="dxa"/>
                  <w:noWrap/>
                  <w:vAlign w:val="center"/>
                </w:tcPr>
                <w:p>
                  <w:pPr>
                    <w:pStyle w:val="2"/>
                    <w:jc w:val="center"/>
                    <w:rPr>
                      <w:rFonts w:ascii="Times New Roman" w:hAnsi="Times New Roman" w:cs="Times New Roman"/>
                      <w:sz w:val="21"/>
                      <w:szCs w:val="21"/>
                    </w:rPr>
                  </w:pPr>
                  <w:r>
                    <w:rPr>
                      <w:rFonts w:hint="eastAsia" w:ascii="Times New Roman" w:hAnsi="Times New Roman" w:cs="Times New Roman" w:eastAsiaTheme="minorEastAsia"/>
                      <w:sz w:val="21"/>
                      <w:szCs w:val="21"/>
                    </w:rPr>
                    <w:t>地上1~3层为商业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9#</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-1+3F，H=15.8m</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-1层为地下车库，地上1~3层为商业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10#</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+1+6F，H=21.6m</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+1为商业店铺，商铺以上1~6层为住宅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restart"/>
                  <w:noWrap/>
                  <w:vAlign w:val="center"/>
                </w:tcPr>
                <w:p>
                  <w:pPr>
                    <w:widowControl w:val="0"/>
                    <w:spacing w:line="400" w:lineRule="exact"/>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辅助工程</w:t>
                  </w: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治安值班室</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80m</w:t>
                  </w:r>
                  <w:r>
                    <w:rPr>
                      <w:rFonts w:hint="eastAsia" w:ascii="Times New Roman" w:hAnsi="Times New Roman" w:cs="Times New Roman" w:eastAsiaTheme="minorEastAsia"/>
                      <w:sz w:val="21"/>
                      <w:szCs w:val="21"/>
                      <w:vertAlign w:val="superscript"/>
                    </w:rPr>
                    <w:t>2</w:t>
                  </w:r>
                </w:p>
              </w:tc>
              <w:tc>
                <w:tcPr>
                  <w:tcW w:w="3408" w:type="dxa"/>
                  <w:noWrap/>
                  <w:vAlign w:val="center"/>
                </w:tcPr>
                <w:p>
                  <w:pPr>
                    <w:pStyle w:val="2"/>
                    <w:jc w:val="center"/>
                    <w:rPr>
                      <w:rFonts w:ascii="Times New Roman" w:hAnsi="Times New Roman" w:cs="Times New Roman"/>
                      <w:kern w:val="2"/>
                      <w:sz w:val="21"/>
                      <w:szCs w:val="21"/>
                    </w:rPr>
                  </w:pPr>
                  <w:r>
                    <w:rPr>
                      <w:rFonts w:hint="eastAsia" w:ascii="Times New Roman" w:hAnsi="Times New Roman" w:cs="Times New Roman"/>
                      <w:kern w:val="2"/>
                      <w:sz w:val="21"/>
                      <w:szCs w:val="21"/>
                    </w:rPr>
                    <w:t>小区出入口出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物业管理用房</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300m</w:t>
                  </w:r>
                  <w:r>
                    <w:rPr>
                      <w:rFonts w:hint="eastAsia" w:ascii="Times New Roman" w:hAnsi="Times New Roman" w:cs="Times New Roman" w:eastAsiaTheme="minorEastAsia"/>
                      <w:sz w:val="21"/>
                      <w:szCs w:val="21"/>
                      <w:vertAlign w:val="superscript"/>
                    </w:rPr>
                    <w:t>2</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社区办公用房</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200m</w:t>
                  </w:r>
                  <w:r>
                    <w:rPr>
                      <w:rFonts w:hint="eastAsia" w:ascii="Times New Roman" w:hAnsi="Times New Roman" w:cs="Times New Roman" w:eastAsiaTheme="minorEastAsia"/>
                      <w:sz w:val="21"/>
                      <w:szCs w:val="21"/>
                      <w:vertAlign w:val="superscript"/>
                    </w:rPr>
                    <w:t>2</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备用柴油发电机房</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20m</w:t>
                  </w:r>
                  <w:r>
                    <w:rPr>
                      <w:rFonts w:hint="eastAsia" w:ascii="Times New Roman" w:hAnsi="Times New Roman" w:cs="Times New Roman" w:eastAsiaTheme="minorEastAsia"/>
                      <w:sz w:val="21"/>
                      <w:szCs w:val="21"/>
                      <w:vertAlign w:val="superscript"/>
                    </w:rPr>
                    <w:t>2</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消防控制室及安保监控室</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50m</w:t>
                  </w:r>
                  <w:r>
                    <w:rPr>
                      <w:rFonts w:hint="eastAsia" w:ascii="Times New Roman" w:hAnsi="Times New Roman" w:cs="Times New Roman" w:eastAsiaTheme="minorEastAsia"/>
                      <w:sz w:val="21"/>
                      <w:szCs w:val="21"/>
                      <w:vertAlign w:val="superscript"/>
                    </w:rPr>
                    <w:t>2</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rPr>
                      <w:rFonts w:ascii="Times New Roman" w:hAnsi="Times New Roman" w:cs="Times New Roman" w:eastAsiaTheme="minorEastAsia"/>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公厕</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100m</w:t>
                  </w:r>
                  <w:r>
                    <w:rPr>
                      <w:rFonts w:hint="eastAsia" w:ascii="Times New Roman" w:hAnsi="Times New Roman" w:cs="Times New Roman" w:eastAsiaTheme="minorEastAsia"/>
                      <w:sz w:val="21"/>
                      <w:szCs w:val="21"/>
                      <w:vertAlign w:val="superscript"/>
                    </w:rPr>
                    <w:t>2</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商业区内部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restart"/>
                  <w:noWrap/>
                  <w:vAlign w:val="center"/>
                </w:tcPr>
                <w:p>
                  <w:pPr>
                    <w:widowControl w:val="0"/>
                    <w:spacing w:line="400" w:lineRule="exact"/>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公用工程</w:t>
                  </w: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供水</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市政供水管网</w:t>
                  </w:r>
                </w:p>
              </w:tc>
              <w:tc>
                <w:tcPr>
                  <w:tcW w:w="3408" w:type="dxa"/>
                  <w:noWrap/>
                  <w:vAlign w:val="center"/>
                </w:tcPr>
                <w:p>
                  <w:pPr>
                    <w:pStyle w:val="2"/>
                    <w:jc w:val="center"/>
                    <w:rPr>
                      <w:rFonts w:ascii="Times New Roman" w:hAnsi="Times New Roman" w:cs="Times New Roman"/>
                      <w:kern w:val="2"/>
                      <w:sz w:val="21"/>
                      <w:szCs w:val="21"/>
                    </w:rPr>
                  </w:pPr>
                  <w:r>
                    <w:rPr>
                      <w:rFonts w:hint="eastAsia" w:ascii="Times New Roman" w:hAns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pStyle w:val="2"/>
                    <w:jc w:val="cente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排水</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雨污分流，排入市政雨污管网</w:t>
                  </w:r>
                </w:p>
              </w:tc>
              <w:tc>
                <w:tcPr>
                  <w:tcW w:w="3408" w:type="dxa"/>
                  <w:noWrap/>
                  <w:vAlign w:val="center"/>
                </w:tcPr>
                <w:p>
                  <w:pPr>
                    <w:pStyle w:val="2"/>
                    <w:jc w:val="center"/>
                    <w:rPr>
                      <w:rFonts w:ascii="Times New Roman" w:hAnsi="Times New Roman" w:cs="Times New Roman"/>
                      <w:kern w:val="2"/>
                      <w:sz w:val="21"/>
                      <w:szCs w:val="21"/>
                    </w:rPr>
                  </w:pPr>
                  <w:r>
                    <w:rPr>
                      <w:rFonts w:hint="eastAsia" w:ascii="Times New Roman" w:hAns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widowControl w:val="0"/>
                    <w:spacing w:line="400" w:lineRule="exact"/>
                    <w:jc w:val="center"/>
                    <w:rPr>
                      <w:rFonts w:ascii="Times New Roman" w:hAnsi="Times New Roman" w:eastAsia="宋体"/>
                      <w:color w:val="000000"/>
                      <w:kern w:val="2"/>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供电</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城市供电网，项目设置配电室、柴油发电机</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783" w:type="dxa"/>
                  <w:vMerge w:val="continue"/>
                  <w:noWrap/>
                  <w:vAlign w:val="center"/>
                </w:tcPr>
                <w:p>
                  <w:pPr>
                    <w:widowControl w:val="0"/>
                    <w:spacing w:line="400" w:lineRule="exact"/>
                    <w:jc w:val="center"/>
                    <w:rPr>
                      <w:rFonts w:ascii="Times New Roman" w:hAnsi="Times New Roman" w:eastAsia="宋体"/>
                      <w:color w:val="000000"/>
                      <w:kern w:val="2"/>
                      <w:sz w:val="21"/>
                      <w:szCs w:val="21"/>
                    </w:rPr>
                  </w:pPr>
                </w:p>
              </w:tc>
              <w:tc>
                <w:tcPr>
                  <w:tcW w:w="2162" w:type="dxa"/>
                  <w:noWrap/>
                  <w:vAlign w:val="center"/>
                </w:tcPr>
                <w:p>
                  <w:pPr>
                    <w:pStyle w:val="2"/>
                    <w:jc w:val="center"/>
                    <w:rPr>
                      <w:rFonts w:ascii="Times New Roman" w:hAnsi="Times New Roman" w:cs="Times New Roman"/>
                      <w:kern w:val="2"/>
                      <w:sz w:val="21"/>
                      <w:szCs w:val="21"/>
                    </w:rPr>
                  </w:pPr>
                  <w:r>
                    <w:rPr>
                      <w:rFonts w:hint="eastAsia" w:ascii="Times New Roman" w:hAnsi="Times New Roman" w:cs="Times New Roman"/>
                      <w:kern w:val="2"/>
                      <w:sz w:val="21"/>
                      <w:szCs w:val="21"/>
                    </w:rPr>
                    <w:t>供暖</w:t>
                  </w:r>
                </w:p>
              </w:tc>
              <w:tc>
                <w:tcPr>
                  <w:tcW w:w="3275" w:type="dxa"/>
                  <w:noWrap/>
                  <w:vAlign w:val="center"/>
                </w:tcPr>
                <w:p>
                  <w:pPr>
                    <w:pStyle w:val="2"/>
                    <w:jc w:val="center"/>
                    <w:rPr>
                      <w:rFonts w:ascii="Times New Roman" w:hAnsi="Times New Roman" w:cs="Times New Roman"/>
                      <w:kern w:val="2"/>
                      <w:sz w:val="21"/>
                      <w:szCs w:val="21"/>
                    </w:rPr>
                  </w:pPr>
                  <w:r>
                    <w:rPr>
                      <w:rFonts w:hint="eastAsia" w:ascii="Times New Roman" w:hAnsi="Times New Roman" w:cs="Times New Roman"/>
                      <w:kern w:val="2"/>
                      <w:sz w:val="21"/>
                      <w:szCs w:val="21"/>
                    </w:rPr>
                    <w:t>采用分体式空调</w:t>
                  </w:r>
                </w:p>
              </w:tc>
              <w:tc>
                <w:tcPr>
                  <w:tcW w:w="3408" w:type="dxa"/>
                  <w:noWrap/>
                  <w:vAlign w:val="center"/>
                </w:tcPr>
                <w:p>
                  <w:pPr>
                    <w:pStyle w:val="2"/>
                    <w:jc w:val="center"/>
                    <w:rPr>
                      <w:rFonts w:ascii="Times New Roman" w:hAnsi="Times New Roman" w:cs="Times New Roman"/>
                      <w:kern w:val="2"/>
                      <w:sz w:val="21"/>
                      <w:szCs w:val="21"/>
                    </w:rPr>
                  </w:pPr>
                  <w:r>
                    <w:rPr>
                      <w:rFonts w:hint="eastAsia" w:ascii="Times New Roman" w:hAns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783" w:type="dxa"/>
                  <w:vMerge w:val="restart"/>
                  <w:noWrap/>
                  <w:vAlign w:val="center"/>
                </w:tcPr>
                <w:p>
                  <w:pPr>
                    <w:widowControl w:val="0"/>
                    <w:spacing w:line="400" w:lineRule="exact"/>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环保工程</w:t>
                  </w: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废气</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垃圾收集点与公厕门口均采取定期消毒除臭处理，地面作硬化防渗，地下停车场安装通风管道设施</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widowControl w:val="0"/>
                    <w:spacing w:line="400" w:lineRule="exact"/>
                    <w:jc w:val="center"/>
                    <w:rPr>
                      <w:rFonts w:ascii="Times New Roman" w:hAnsi="Times New Roman" w:eastAsia="宋体"/>
                      <w:color w:val="000000"/>
                      <w:kern w:val="2"/>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废水</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生活污水经化粪池处理后，排入市政管网，最终由道真污水处理厂处理</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783" w:type="dxa"/>
                  <w:vMerge w:val="continue"/>
                  <w:noWrap/>
                  <w:vAlign w:val="center"/>
                </w:tcPr>
                <w:p>
                  <w:pPr>
                    <w:widowControl w:val="0"/>
                    <w:spacing w:line="400" w:lineRule="exact"/>
                    <w:jc w:val="center"/>
                    <w:rPr>
                      <w:rFonts w:ascii="Times New Roman" w:hAnsi="Times New Roman" w:eastAsia="宋体"/>
                      <w:color w:val="000000"/>
                      <w:kern w:val="2"/>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噪声</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zh-CN"/>
                    </w:rPr>
                    <w:t>采取隔音、减振降噪、绿化等措施降噪</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jc w:val="center"/>
              </w:trPr>
              <w:tc>
                <w:tcPr>
                  <w:tcW w:w="783" w:type="dxa"/>
                  <w:vMerge w:val="continue"/>
                  <w:noWrap/>
                  <w:vAlign w:val="center"/>
                </w:tcPr>
                <w:p>
                  <w:pPr>
                    <w:widowControl w:val="0"/>
                    <w:spacing w:line="400" w:lineRule="exact"/>
                    <w:jc w:val="center"/>
                    <w:rPr>
                      <w:rFonts w:ascii="Times New Roman" w:hAnsi="Times New Roman" w:eastAsia="宋体"/>
                      <w:color w:val="000000"/>
                      <w:kern w:val="2"/>
                      <w:sz w:val="21"/>
                      <w:szCs w:val="21"/>
                    </w:rPr>
                  </w:pPr>
                </w:p>
              </w:tc>
              <w:tc>
                <w:tcPr>
                  <w:tcW w:w="2162"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固体废物</w:t>
                  </w:r>
                </w:p>
              </w:tc>
              <w:tc>
                <w:tcPr>
                  <w:tcW w:w="3275"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化粪池污泥由物业公司交由专业处理机构处理，每半年清理一次；生活垃圾集中收集，定期由环卫部门收集送往垃圾填埋场处置</w:t>
                  </w:r>
                </w:p>
              </w:tc>
              <w:tc>
                <w:tcPr>
                  <w:tcW w:w="3408" w:type="dxa"/>
                  <w:noWrap/>
                  <w:vAlign w:val="center"/>
                </w:tcPr>
                <w:p>
                  <w:pPr>
                    <w:pStyle w:val="2"/>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bl>
          <w:p>
            <w:pPr>
              <w:widowControl/>
              <w:adjustRightInd/>
              <w:snapToGrid/>
              <w:spacing w:line="36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5" w:hRule="atLeast"/>
        </w:trPr>
        <w:tc>
          <w:tcPr>
            <w:tcW w:w="9854" w:type="dxa"/>
          </w:tcPr>
          <w:p>
            <w:pPr>
              <w:widowControl w:val="0"/>
              <w:spacing w:beforeLines="20"/>
              <w:jc w:val="both"/>
              <w:rPr>
                <w:rFonts w:ascii="Times New Roman" w:hAnsi="Times New Roman" w:eastAsia="宋体"/>
                <w:b/>
                <w:bCs/>
                <w:color w:val="000000"/>
                <w:sz w:val="28"/>
                <w:szCs w:val="28"/>
              </w:rPr>
            </w:pPr>
            <w:r>
              <w:rPr>
                <w:rFonts w:hint="eastAsia" w:ascii="Times New Roman" w:hAnsi="Times New Roman" w:eastAsia="宋体"/>
                <w:b/>
                <w:bCs/>
                <w:color w:val="000000"/>
                <w:sz w:val="28"/>
                <w:szCs w:val="28"/>
              </w:rPr>
              <w:t>二、项目水平衡图</w:t>
            </w:r>
            <w:r>
              <w:rPr>
                <w:rFonts w:ascii="Times New Roman" w:hAnsi="Times New Roman" w:eastAsia="宋体"/>
                <w:b/>
                <w:bCs/>
                <w:color w:val="000000"/>
                <w:sz w:val="28"/>
                <w:szCs w:val="28"/>
              </w:rPr>
              <w:t>：</w:t>
            </w:r>
          </w:p>
          <w:p>
            <w:pPr>
              <w:widowControl w:val="0"/>
              <w:ind w:firstLine="480" w:firstLineChars="200"/>
              <w:jc w:val="left"/>
              <w:rPr>
                <w:rFonts w:ascii="Times New Roman" w:hAnsi="Times New Roman" w:eastAsia="宋体"/>
                <w:color w:val="000000"/>
                <w:sz w:val="24"/>
              </w:rPr>
            </w:pPr>
            <w:r>
              <w:rPr>
                <w:rFonts w:hint="eastAsia" w:ascii="Times New Roman" w:hAnsi="Times New Roman" w:eastAsia="宋体"/>
                <w:color w:val="000000"/>
                <w:sz w:val="24"/>
              </w:rPr>
              <w:t xml:space="preserve">2.1 </w:t>
            </w:r>
            <w:r>
              <w:rPr>
                <w:rFonts w:ascii="Times New Roman" w:hAnsi="Times New Roman" w:eastAsia="宋体"/>
                <w:color w:val="000000"/>
                <w:sz w:val="24"/>
              </w:rPr>
              <w:t>根据项目环评报告表，项目水平衡图见图2-1。</w:t>
            </w:r>
          </w:p>
          <w:p>
            <w:pPr>
              <w:pStyle w:val="2"/>
              <w:jc w:val="both"/>
            </w:pPr>
            <w:r>
              <w:rPr>
                <w:rFonts w:hAnsi="宋体"/>
              </w:rPr>
              <w:drawing>
                <wp:anchor distT="0" distB="0" distL="114300" distR="114300" simplePos="0" relativeHeight="251658240" behindDoc="1" locked="0" layoutInCell="1" allowOverlap="1">
                  <wp:simplePos x="0" y="0"/>
                  <wp:positionH relativeFrom="column">
                    <wp:posOffset>450215</wp:posOffset>
                  </wp:positionH>
                  <wp:positionV relativeFrom="paragraph">
                    <wp:posOffset>58420</wp:posOffset>
                  </wp:positionV>
                  <wp:extent cx="5080635" cy="3013075"/>
                  <wp:effectExtent l="0" t="0" r="5715" b="1587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cstate="print"/>
                          <a:srcRect r="1696"/>
                          <a:stretch>
                            <a:fillRect/>
                          </a:stretch>
                        </pic:blipFill>
                        <pic:spPr>
                          <a:xfrm>
                            <a:off x="0" y="0"/>
                            <a:ext cx="5080635" cy="3013075"/>
                          </a:xfrm>
                          <a:prstGeom prst="rect">
                            <a:avLst/>
                          </a:prstGeom>
                          <a:noFill/>
                          <a:ln w="9525">
                            <a:noFill/>
                          </a:ln>
                        </pic:spPr>
                      </pic:pic>
                    </a:graphicData>
                  </a:graphic>
                </wp:anchor>
              </w:drawing>
            </w:r>
          </w:p>
          <w:p>
            <w:pPr>
              <w:pStyle w:val="2"/>
              <w:ind w:firstLine="480" w:firstLineChars="200"/>
              <w:jc w:val="both"/>
            </w:pPr>
          </w:p>
          <w:p>
            <w:pPr>
              <w:pStyle w:val="2"/>
              <w:ind w:firstLine="480" w:firstLineChars="200"/>
              <w:jc w:val="both"/>
            </w:pPr>
          </w:p>
          <w:p>
            <w:pPr>
              <w:pStyle w:val="2"/>
              <w:jc w:val="center"/>
            </w:pPr>
          </w:p>
          <w:p>
            <w:pPr>
              <w:pStyle w:val="2"/>
              <w:jc w:val="center"/>
            </w:pPr>
          </w:p>
          <w:p>
            <w:pPr>
              <w:pStyle w:val="2"/>
              <w:jc w:val="center"/>
            </w:pPr>
          </w:p>
          <w:p>
            <w:pPr>
              <w:pStyle w:val="2"/>
              <w:jc w:val="center"/>
            </w:pPr>
          </w:p>
          <w:p>
            <w:pPr>
              <w:pStyle w:val="2"/>
              <w:jc w:val="center"/>
            </w:pPr>
          </w:p>
          <w:p>
            <w:pPr>
              <w:pStyle w:val="2"/>
              <w:jc w:val="both"/>
            </w:pPr>
          </w:p>
          <w:p>
            <w:pPr>
              <w:pStyle w:val="2"/>
              <w:jc w:val="both"/>
            </w:pPr>
          </w:p>
          <w:p>
            <w:pPr>
              <w:pStyle w:val="2"/>
              <w:spacing w:line="360" w:lineRule="auto"/>
              <w:ind w:firstLine="482" w:firstLineChars="200"/>
              <w:jc w:val="center"/>
              <w:rPr>
                <w:rFonts w:ascii="Times New Roman" w:hAnsi="Times New Roman" w:cs="Times New Roman" w:eastAsiaTheme="minorEastAsia"/>
                <w:b/>
                <w:bCs/>
                <w:color w:val="000000" w:themeColor="text1"/>
              </w:rPr>
            </w:pPr>
          </w:p>
          <w:p>
            <w:pPr>
              <w:pStyle w:val="2"/>
              <w:spacing w:line="360" w:lineRule="auto"/>
              <w:ind w:firstLine="482" w:firstLineChars="200"/>
              <w:jc w:val="center"/>
              <w:rPr>
                <w:rFonts w:ascii="Times New Roman" w:hAnsi="Times New Roman" w:cs="Times New Roman" w:eastAsiaTheme="minorEastAsia"/>
                <w:b/>
                <w:bCs/>
                <w:color w:val="000000" w:themeColor="text1"/>
              </w:rPr>
            </w:pPr>
          </w:p>
          <w:p>
            <w:pPr>
              <w:pStyle w:val="2"/>
              <w:spacing w:line="360" w:lineRule="auto"/>
              <w:ind w:firstLine="482" w:firstLineChars="200"/>
              <w:jc w:val="center"/>
              <w:rPr>
                <w:rFonts w:ascii="Times New Roman" w:hAnsi="Times New Roman" w:cs="Times New Roman" w:eastAsiaTheme="minorEastAsia"/>
                <w:b/>
                <w:bCs/>
                <w:color w:val="000000" w:themeColor="text1"/>
              </w:rPr>
            </w:pPr>
          </w:p>
          <w:p>
            <w:pPr>
              <w:pStyle w:val="2"/>
              <w:spacing w:line="360" w:lineRule="auto"/>
              <w:ind w:firstLine="482" w:firstLineChars="200"/>
              <w:jc w:val="center"/>
              <w:rPr>
                <w:rFonts w:ascii="Times New Roman" w:hAnsi="Times New Roman" w:cs="Times New Roman" w:eastAsiaTheme="minorEastAsia"/>
                <w:b/>
                <w:bCs/>
                <w:color w:val="000000" w:themeColor="text1"/>
              </w:rPr>
            </w:pPr>
          </w:p>
          <w:p>
            <w:pPr>
              <w:pStyle w:val="2"/>
              <w:spacing w:line="360" w:lineRule="auto"/>
              <w:ind w:firstLine="482" w:firstLineChars="200"/>
              <w:jc w:val="center"/>
              <w:rPr>
                <w:rFonts w:ascii="Times New Roman" w:hAnsi="Times New Roman" w:cs="Times New Roman" w:eastAsiaTheme="minorEastAsia"/>
                <w:b/>
                <w:bCs/>
                <w:color w:val="000000" w:themeColor="text1"/>
              </w:rPr>
            </w:pPr>
          </w:p>
          <w:p>
            <w:pPr>
              <w:pStyle w:val="2"/>
              <w:spacing w:line="360" w:lineRule="auto"/>
              <w:ind w:firstLine="482" w:firstLineChars="20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图 2-1  项目水平衡图</w:t>
            </w:r>
            <w:r>
              <w:rPr>
                <w:rFonts w:hint="eastAsia" w:ascii="Times New Roman" w:hAnsi="Times New Roman" w:cs="Times New Roman" w:eastAsiaTheme="minorEastAsia"/>
                <w:b/>
                <w:bCs/>
                <w:color w:val="000000" w:themeColor="text1"/>
              </w:rPr>
              <w:t>（</w:t>
            </w:r>
            <w:r>
              <w:rPr>
                <w:rFonts w:ascii="Times New Roman" w:hAnsi="Times New Roman" w:cs="Times New Roman" w:eastAsiaTheme="minorEastAsia"/>
                <w:b/>
                <w:bCs/>
                <w:color w:val="000000" w:themeColor="text1"/>
              </w:rPr>
              <w:t>单位</w:t>
            </w:r>
            <w:r>
              <w:rPr>
                <w:rFonts w:hint="eastAsia" w:ascii="Times New Roman" w:hAnsi="Times New Roman" w:cs="Times New Roman" w:eastAsiaTheme="minorEastAsia"/>
                <w:b/>
                <w:bCs/>
                <w:color w:val="000000" w:themeColor="text1"/>
              </w:rPr>
              <w:t>：</w:t>
            </w:r>
            <w:r>
              <w:rPr>
                <w:rFonts w:ascii="Times New Roman" w:hAnsi="Times New Roman" w:cs="Times New Roman" w:eastAsiaTheme="minorEastAsia"/>
                <w:b/>
                <w:bCs/>
                <w:color w:val="000000" w:themeColor="text1"/>
              </w:rPr>
              <w:t>m</w:t>
            </w:r>
            <w:r>
              <w:rPr>
                <w:rFonts w:ascii="Times New Roman" w:hAnsi="Times New Roman" w:cs="Times New Roman" w:eastAsiaTheme="minorEastAsia"/>
                <w:b/>
                <w:bCs/>
                <w:color w:val="000000" w:themeColor="text1"/>
                <w:vertAlign w:val="superscript"/>
              </w:rPr>
              <w:t>3</w:t>
            </w:r>
            <w:r>
              <w:rPr>
                <w:rFonts w:ascii="Times New Roman" w:hAnsi="Times New Roman" w:cs="Times New Roman" w:eastAsiaTheme="minorEastAsia"/>
                <w:b/>
                <w:bCs/>
                <w:color w:val="000000" w:themeColor="text1"/>
              </w:rPr>
              <w:t>/d</w:t>
            </w:r>
            <w:r>
              <w:rPr>
                <w:rFonts w:hint="eastAsia" w:ascii="Times New Roman" w:hAnsi="Times New Roman" w:cs="Times New Roman" w:eastAsiaTheme="minorEastAsia"/>
                <w:b/>
                <w:bCs/>
                <w:color w:val="000000" w:themeColor="text1"/>
              </w:rPr>
              <w:t>）</w:t>
            </w:r>
          </w:p>
          <w:p>
            <w:pPr>
              <w:widowControl w:val="0"/>
              <w:spacing w:beforeLines="20"/>
              <w:jc w:val="both"/>
              <w:rPr>
                <w:rFonts w:ascii="Times New Roman" w:hAnsi="Times New Roman" w:eastAsia="宋体"/>
                <w:b/>
                <w:bCs/>
                <w:color w:val="000000" w:themeColor="text1"/>
                <w:sz w:val="28"/>
                <w:szCs w:val="28"/>
              </w:rPr>
            </w:pPr>
          </w:p>
          <w:p>
            <w:pPr>
              <w:widowControl w:val="0"/>
              <w:spacing w:beforeLines="20"/>
              <w:jc w:val="both"/>
              <w:rPr>
                <w:rFonts w:ascii="Times New Roman" w:hAnsi="Times New Roman" w:eastAsia="宋体"/>
                <w:b/>
                <w:bCs/>
                <w:color w:val="000000" w:themeColor="text1"/>
                <w:sz w:val="28"/>
                <w:szCs w:val="28"/>
              </w:rPr>
            </w:pPr>
            <w:r>
              <w:rPr>
                <w:rFonts w:hint="eastAsia" w:ascii="Times New Roman" w:hAnsi="Times New Roman" w:eastAsia="宋体"/>
                <w:b/>
                <w:bCs/>
                <w:color w:val="000000" w:themeColor="text1"/>
                <w:sz w:val="28"/>
                <w:szCs w:val="28"/>
              </w:rPr>
              <w:t>三、</w:t>
            </w:r>
            <w:r>
              <w:rPr>
                <w:rFonts w:ascii="Times New Roman" w:hAnsi="Times New Roman" w:eastAsia="宋体"/>
                <w:b/>
                <w:bCs/>
                <w:color w:val="000000" w:themeColor="text1"/>
                <w:sz w:val="28"/>
                <w:szCs w:val="28"/>
              </w:rPr>
              <w:t>主要工艺流程及产</w:t>
            </w:r>
            <w:r>
              <w:rPr>
                <w:rFonts w:hint="eastAsia" w:ascii="Times New Roman" w:hAnsi="Times New Roman" w:eastAsia="宋体"/>
                <w:b/>
                <w:bCs/>
                <w:color w:val="000000" w:themeColor="text1"/>
                <w:sz w:val="28"/>
                <w:szCs w:val="28"/>
              </w:rPr>
              <w:t>污</w:t>
            </w:r>
            <w:r>
              <w:rPr>
                <w:rFonts w:ascii="Times New Roman" w:hAnsi="Times New Roman" w:eastAsia="宋体"/>
                <w:b/>
                <w:bCs/>
                <w:color w:val="000000" w:themeColor="text1"/>
                <w:sz w:val="28"/>
                <w:szCs w:val="28"/>
              </w:rPr>
              <w:t>环节</w:t>
            </w:r>
            <w:r>
              <w:rPr>
                <w:rFonts w:hint="eastAsia" w:ascii="Times New Roman" w:hAnsi="Times New Roman" w:eastAsia="宋体"/>
                <w:b/>
                <w:bCs/>
                <w:color w:val="000000" w:themeColor="text1"/>
                <w:sz w:val="28"/>
                <w:szCs w:val="28"/>
              </w:rPr>
              <w:t>：</w:t>
            </w:r>
          </w:p>
          <w:p>
            <w:pPr>
              <w:pStyle w:val="2"/>
              <w:spacing w:line="360" w:lineRule="auto"/>
              <w:ind w:firstLine="480" w:firstLineChars="200"/>
              <w:jc w:val="both"/>
            </w:pPr>
            <w:r>
              <w:rPr>
                <w:rFonts w:ascii="Times New Roman" w:hAnsi="Times New Roman" w:cs="Times New Roman" w:eastAsiaTheme="minorEastAsia"/>
                <w:color w:val="000000" w:themeColor="text1"/>
              </w:rPr>
              <w:t>2.</w:t>
            </w:r>
            <w:r>
              <w:rPr>
                <w:rFonts w:hint="eastAsia" w:ascii="Times New Roman" w:hAnsi="Times New Roman" w:cs="Times New Roman" w:eastAsiaTheme="minorEastAsia"/>
                <w:color w:val="000000" w:themeColor="text1"/>
              </w:rPr>
              <w:t>2</w:t>
            </w:r>
            <w:r>
              <w:rPr>
                <w:rFonts w:ascii="Times New Roman" w:hAnsi="Times New Roman" w:cs="Times New Roman" w:eastAsiaTheme="minorEastAsia"/>
                <w:color w:val="000000" w:themeColor="text1"/>
              </w:rPr>
              <w:t xml:space="preserve"> 根据项目环评报告表，</w:t>
            </w:r>
            <w:r>
              <w:rPr>
                <w:rFonts w:hint="eastAsia"/>
              </w:rPr>
              <w:t>项目</w:t>
            </w:r>
            <w:r>
              <w:t>工艺</w:t>
            </w:r>
            <w:r>
              <w:rPr>
                <w:rFonts w:hint="eastAsia"/>
              </w:rPr>
              <w:t>流程</w:t>
            </w:r>
            <w:r>
              <w:t>及产污环节</w:t>
            </w:r>
            <w:r>
              <w:rPr>
                <w:rFonts w:hint="eastAsia"/>
              </w:rPr>
              <w:t>流程图</w:t>
            </w:r>
            <w:r>
              <w:t>见图</w:t>
            </w:r>
            <w:r>
              <w:rPr>
                <w:rFonts w:ascii="Times New Roman" w:hAnsi="Times New Roman" w:cs="Times New Roman"/>
              </w:rPr>
              <w:t>2-2。</w:t>
            </w:r>
          </w:p>
          <w:p>
            <w:pPr>
              <w:pStyle w:val="2"/>
              <w:jc w:val="both"/>
            </w:pPr>
            <w:r>
              <w:rPr>
                <w:rFonts w:hAnsi="宋体"/>
              </w:rPr>
              <w:drawing>
                <wp:anchor distT="0" distB="0" distL="114300" distR="114300" simplePos="0" relativeHeight="251659264" behindDoc="1" locked="0" layoutInCell="1" allowOverlap="1">
                  <wp:simplePos x="0" y="0"/>
                  <wp:positionH relativeFrom="column">
                    <wp:posOffset>400685</wp:posOffset>
                  </wp:positionH>
                  <wp:positionV relativeFrom="paragraph">
                    <wp:posOffset>9525</wp:posOffset>
                  </wp:positionV>
                  <wp:extent cx="5208905" cy="2764790"/>
                  <wp:effectExtent l="0" t="0" r="10795" b="16510"/>
                  <wp:wrapNone/>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7" cstate="print"/>
                          <a:stretch>
                            <a:fillRect/>
                          </a:stretch>
                        </pic:blipFill>
                        <pic:spPr>
                          <a:xfrm>
                            <a:off x="0" y="0"/>
                            <a:ext cx="5208905" cy="2764790"/>
                          </a:xfrm>
                          <a:prstGeom prst="rect">
                            <a:avLst/>
                          </a:prstGeom>
                          <a:noFill/>
                          <a:ln w="9525">
                            <a:noFill/>
                          </a:ln>
                        </pic:spPr>
                      </pic:pic>
                    </a:graphicData>
                  </a:graphic>
                </wp:anchor>
              </w:drawing>
            </w: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pStyle w:val="2"/>
              <w:spacing w:line="360" w:lineRule="auto"/>
              <w:ind w:firstLine="462" w:firstLineChars="200"/>
              <w:jc w:val="center"/>
              <w:rPr>
                <w:rFonts w:ascii="Times New Roman" w:hAnsi="Times New Roman" w:cs="Times New Roman"/>
                <w:b/>
                <w:color w:val="auto"/>
                <w:spacing w:val="10"/>
                <w:sz w:val="21"/>
                <w:szCs w:val="21"/>
              </w:rPr>
            </w:pPr>
          </w:p>
          <w:p>
            <w:pPr>
              <w:pStyle w:val="2"/>
              <w:spacing w:line="360" w:lineRule="auto"/>
              <w:ind w:firstLine="462" w:firstLineChars="200"/>
              <w:jc w:val="center"/>
              <w:rPr>
                <w:rFonts w:ascii="Times New Roman" w:hAnsi="Times New Roman" w:cs="Times New Roman"/>
                <w:b/>
                <w:color w:val="auto"/>
                <w:spacing w:val="10"/>
                <w:sz w:val="21"/>
                <w:szCs w:val="21"/>
              </w:rPr>
            </w:pPr>
          </w:p>
          <w:p>
            <w:pPr>
              <w:pStyle w:val="2"/>
              <w:spacing w:line="360" w:lineRule="auto"/>
              <w:ind w:firstLine="462" w:firstLineChars="200"/>
              <w:jc w:val="center"/>
              <w:rPr>
                <w:rFonts w:ascii="Times New Roman" w:hAnsi="Times New Roman" w:cs="Times New Roman"/>
                <w:b/>
                <w:color w:val="auto"/>
                <w:spacing w:val="10"/>
                <w:sz w:val="21"/>
                <w:szCs w:val="21"/>
              </w:rPr>
            </w:pPr>
          </w:p>
          <w:p>
            <w:pPr>
              <w:pStyle w:val="2"/>
              <w:spacing w:line="360" w:lineRule="auto"/>
              <w:ind w:firstLine="482" w:firstLineChars="200"/>
              <w:jc w:val="center"/>
            </w:pPr>
            <w:r>
              <w:rPr>
                <w:rFonts w:ascii="Times New Roman" w:hAnsi="Times New Roman" w:cs="Times New Roman" w:eastAsiaTheme="minorEastAsia"/>
                <w:b/>
                <w:bCs/>
                <w:color w:val="000000" w:themeColor="text1"/>
              </w:rPr>
              <w:t>图2-</w:t>
            </w:r>
            <w:r>
              <w:rPr>
                <w:rFonts w:hint="eastAsia" w:ascii="Times New Roman" w:hAnsi="Times New Roman" w:cs="Times New Roman" w:eastAsiaTheme="minorEastAsia"/>
                <w:b/>
                <w:bCs/>
                <w:color w:val="000000" w:themeColor="text1"/>
              </w:rPr>
              <w:t xml:space="preserve">2 </w:t>
            </w:r>
            <w:r>
              <w:rPr>
                <w:rFonts w:ascii="Times New Roman" w:hAnsi="Times New Roman" w:cs="Times New Roman" w:eastAsiaTheme="minorEastAsia"/>
                <w:b/>
                <w:bCs/>
                <w:color w:val="000000" w:themeColor="text1"/>
              </w:rPr>
              <w:t>工艺</w:t>
            </w:r>
            <w:r>
              <w:rPr>
                <w:rFonts w:hint="eastAsia" w:ascii="Times New Roman" w:hAnsi="Times New Roman" w:cs="Times New Roman" w:eastAsiaTheme="minorEastAsia"/>
                <w:b/>
                <w:bCs/>
                <w:color w:val="000000" w:themeColor="text1"/>
              </w:rPr>
              <w:t>流程</w:t>
            </w:r>
            <w:r>
              <w:rPr>
                <w:rFonts w:ascii="Times New Roman" w:hAnsi="Times New Roman" w:cs="Times New Roman" w:eastAsiaTheme="minorEastAsia"/>
                <w:b/>
                <w:bCs/>
                <w:color w:val="000000" w:themeColor="text1"/>
              </w:rPr>
              <w:t>及产污环节</w:t>
            </w:r>
            <w:r>
              <w:rPr>
                <w:rFonts w:hint="eastAsia" w:ascii="Times New Roman" w:hAnsi="Times New Roman" w:cs="Times New Roman" w:eastAsiaTheme="minorEastAsia"/>
                <w:b/>
                <w:bCs/>
                <w:color w:val="000000" w:themeColor="text1"/>
              </w:rPr>
              <w:t>流程图</w:t>
            </w:r>
          </w:p>
        </w:tc>
      </w:tr>
    </w:tbl>
    <w:p>
      <w:pPr>
        <w:spacing w:line="360" w:lineRule="auto"/>
        <w:rPr>
          <w:rFonts w:eastAsia="仿宋_GB2312"/>
          <w:b/>
          <w:color w:val="000000"/>
          <w:sz w:val="32"/>
          <w:szCs w:val="32"/>
        </w:rPr>
      </w:pPr>
    </w:p>
    <w:p>
      <w:pPr>
        <w:spacing w:line="360" w:lineRule="auto"/>
        <w:rPr>
          <w:rFonts w:eastAsia="仿宋_GB2312"/>
          <w:b/>
          <w:color w:val="000000"/>
          <w:sz w:val="32"/>
          <w:szCs w:val="32"/>
        </w:rPr>
      </w:pPr>
      <w:r>
        <w:rPr>
          <w:rFonts w:eastAsia="仿宋_GB2312"/>
          <w:b/>
          <w:color w:val="000000"/>
          <w:sz w:val="32"/>
          <w:szCs w:val="32"/>
        </w:rPr>
        <w:t>表</w:t>
      </w:r>
      <w:r>
        <w:rPr>
          <w:rFonts w:hint="eastAsia" w:eastAsia="仿宋_GB2312"/>
          <w:b/>
          <w:color w:val="000000"/>
          <w:sz w:val="32"/>
          <w:szCs w:val="32"/>
        </w:rPr>
        <w:t>三</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2" w:hRule="atLeast"/>
        </w:trPr>
        <w:tc>
          <w:tcPr>
            <w:tcW w:w="9854" w:type="dxa"/>
          </w:tcPr>
          <w:p>
            <w:pPr>
              <w:widowControl w:val="0"/>
              <w:adjustRightInd/>
              <w:snapToGrid/>
              <w:spacing w:line="360" w:lineRule="auto"/>
              <w:jc w:val="both"/>
              <w:rPr>
                <w:rFonts w:ascii="Times New Roman" w:hAnsi="Times New Roman" w:eastAsia="宋体"/>
                <w:b/>
                <w:bCs/>
                <w:color w:val="000000"/>
                <w:sz w:val="28"/>
                <w:szCs w:val="28"/>
              </w:rPr>
            </w:pPr>
            <w:r>
              <w:rPr>
                <w:rFonts w:ascii="Times New Roman" w:hAnsi="Times New Roman" w:eastAsia="宋体"/>
                <w:b/>
                <w:bCs/>
                <w:color w:val="000000"/>
                <w:sz w:val="28"/>
                <w:szCs w:val="28"/>
              </w:rPr>
              <w:t>主要污染工序及污染物处理措施</w:t>
            </w:r>
            <w:r>
              <w:rPr>
                <w:rFonts w:hint="eastAsia" w:ascii="Times New Roman" w:hAnsi="Times New Roman" w:eastAsia="宋体"/>
                <w:b/>
                <w:bCs/>
                <w:color w:val="000000"/>
                <w:sz w:val="28"/>
                <w:szCs w:val="28"/>
              </w:rPr>
              <w:t>：</w:t>
            </w:r>
          </w:p>
          <w:p>
            <w:pPr>
              <w:widowControl w:val="0"/>
              <w:adjustRightInd/>
              <w:snapToGrid/>
              <w:ind w:firstLine="480" w:firstLineChars="200"/>
              <w:jc w:val="both"/>
              <w:rPr>
                <w:rFonts w:ascii="Times New Roman" w:hAnsi="Times New Roman" w:eastAsia="宋体"/>
                <w:color w:val="000000"/>
                <w:sz w:val="24"/>
                <w:szCs w:val="24"/>
                <w:lang w:val="zh-CN"/>
              </w:rPr>
            </w:pPr>
            <w:r>
              <w:rPr>
                <w:rFonts w:hint="eastAsia" w:ascii="Times New Roman" w:hAnsi="Times New Roman" w:eastAsia="宋体"/>
                <w:color w:val="000000"/>
                <w:sz w:val="24"/>
                <w:szCs w:val="24"/>
              </w:rPr>
              <w:t>一、</w:t>
            </w:r>
            <w:r>
              <w:rPr>
                <w:rFonts w:hint="eastAsia" w:ascii="Times New Roman" w:hAnsi="Times New Roman" w:eastAsia="宋体"/>
                <w:color w:val="000000"/>
                <w:sz w:val="24"/>
                <w:szCs w:val="24"/>
                <w:lang w:val="zh-CN"/>
              </w:rPr>
              <w:t>废气</w:t>
            </w:r>
          </w:p>
          <w:p>
            <w:pPr>
              <w:widowControl w:val="0"/>
              <w:adjustRightInd/>
              <w:snapToGrid/>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lang w:val="zh-CN"/>
              </w:rPr>
              <w:t>本项目运营期大气污染物主要为垃圾收集点和公厕产生的废气。</w:t>
            </w:r>
          </w:p>
          <w:p>
            <w:pPr>
              <w:widowControl w:val="0"/>
              <w:adjustRightInd/>
              <w:snapToGrid/>
              <w:spacing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垃圾收集点与公厕门口均采取定期消毒除臭处理，地面作硬化防渗；地下停车场安装通风管道等设施。</w:t>
            </w:r>
          </w:p>
          <w:p>
            <w:pPr>
              <w:widowControl w:val="0"/>
              <w:adjustRightInd/>
              <w:snapToGrid/>
              <w:ind w:firstLine="480" w:firstLineChars="200"/>
              <w:jc w:val="both"/>
              <w:rPr>
                <w:rFonts w:ascii="Times New Roman" w:hAnsi="Times New Roman" w:eastAsia="宋体"/>
                <w:color w:val="000000"/>
                <w:sz w:val="24"/>
                <w:szCs w:val="24"/>
                <w:lang w:val="zh-CN"/>
              </w:rPr>
            </w:pPr>
            <w:r>
              <w:rPr>
                <w:rFonts w:hint="eastAsia" w:ascii="Times New Roman" w:hAnsi="Times New Roman" w:eastAsia="宋体"/>
                <w:color w:val="000000"/>
                <w:sz w:val="24"/>
                <w:szCs w:val="24"/>
                <w:lang w:val="zh-CN"/>
              </w:rPr>
              <w:t>二、废水</w:t>
            </w:r>
          </w:p>
          <w:p>
            <w:pPr>
              <w:widowControl w:val="0"/>
              <w:adjustRightInd/>
              <w:snapToGrid/>
              <w:ind w:firstLine="472" w:firstLineChars="200"/>
              <w:jc w:val="both"/>
              <w:rPr>
                <w:rFonts w:ascii="Times New Roman" w:hAnsi="Times New Roman" w:eastAsia="宋体"/>
                <w:color w:val="FF0000"/>
                <w:sz w:val="24"/>
                <w:szCs w:val="24"/>
              </w:rPr>
            </w:pPr>
            <w:r>
              <w:rPr>
                <w:rFonts w:hint="eastAsia" w:ascii="宋体" w:hAnsi="宋体" w:eastAsia="宋体" w:cs="宋体"/>
                <w:spacing w:val="-2"/>
                <w:sz w:val="24"/>
                <w:szCs w:val="24"/>
                <w:lang w:val="zh-CN" w:bidi="zh-CN"/>
              </w:rPr>
              <w:t>本项目</w:t>
            </w:r>
            <w:r>
              <w:rPr>
                <w:rFonts w:hint="eastAsia" w:ascii="Times New Roman" w:hAnsi="Times New Roman" w:eastAsia="宋体"/>
                <w:color w:val="000000"/>
                <w:sz w:val="24"/>
                <w:szCs w:val="24"/>
                <w:lang w:val="zh-CN"/>
              </w:rPr>
              <w:t>运营期</w:t>
            </w:r>
            <w:r>
              <w:rPr>
                <w:rFonts w:hint="eastAsia" w:ascii="Times New Roman" w:hAnsi="Times New Roman" w:eastAsia="宋体"/>
                <w:color w:val="000000"/>
                <w:sz w:val="24"/>
                <w:szCs w:val="24"/>
              </w:rPr>
              <w:t>废水主要为生活污水。</w:t>
            </w:r>
          </w:p>
          <w:p>
            <w:pPr>
              <w:widowControl w:val="0"/>
              <w:adjustRightInd/>
              <w:snapToGrid/>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生活污水经化粪池处理后，进入市政管网，最终排入道真污水处理厂处理。</w:t>
            </w:r>
          </w:p>
          <w:p>
            <w:pPr>
              <w:widowControl w:val="0"/>
              <w:adjustRightInd/>
              <w:snapToGrid/>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三、噪声</w:t>
            </w:r>
          </w:p>
          <w:p>
            <w:pPr>
              <w:widowControl w:val="0"/>
              <w:adjustRightInd/>
              <w:snapToGrid/>
              <w:spacing w:line="360" w:lineRule="auto"/>
              <w:ind w:firstLine="472" w:firstLineChars="200"/>
              <w:jc w:val="both"/>
              <w:rPr>
                <w:rFonts w:ascii="Times New Roman" w:hAnsi="Times New Roman" w:eastAsia="宋体"/>
                <w:color w:val="000000"/>
                <w:sz w:val="24"/>
                <w:szCs w:val="24"/>
              </w:rPr>
            </w:pPr>
            <w:r>
              <w:rPr>
                <w:rFonts w:hint="eastAsia" w:ascii="宋体" w:hAnsi="宋体" w:eastAsia="宋体" w:cs="宋体"/>
                <w:spacing w:val="-2"/>
                <w:sz w:val="24"/>
                <w:szCs w:val="24"/>
                <w:lang w:val="zh-CN" w:bidi="zh-CN"/>
              </w:rPr>
              <w:t>本项目</w:t>
            </w:r>
            <w:r>
              <w:rPr>
                <w:rFonts w:hint="eastAsia" w:ascii="Times New Roman" w:hAnsi="Times New Roman" w:eastAsia="宋体"/>
                <w:color w:val="000000"/>
                <w:sz w:val="24"/>
                <w:szCs w:val="24"/>
                <w:lang w:val="zh-CN"/>
              </w:rPr>
              <w:t>运营期</w:t>
            </w:r>
            <w:r>
              <w:rPr>
                <w:rFonts w:hint="eastAsia" w:ascii="Times New Roman" w:hAnsi="Times New Roman" w:eastAsia="宋体"/>
                <w:color w:val="000000"/>
                <w:sz w:val="24"/>
                <w:szCs w:val="24"/>
              </w:rPr>
              <w:t>噪声主要为设备噪声。</w:t>
            </w:r>
          </w:p>
          <w:p>
            <w:pPr>
              <w:widowControl/>
              <w:spacing w:after="80"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设备噪声主要为地下车库抽排风机、水泵、柴油发电机设备运转时产生的噪声，</w:t>
            </w:r>
            <w:r>
              <w:rPr>
                <w:rFonts w:hint="eastAsia" w:ascii="宋体" w:hAnsi="宋体" w:eastAsia="宋体" w:cs="宋体"/>
                <w:spacing w:val="-2"/>
                <w:sz w:val="24"/>
                <w:szCs w:val="24"/>
                <w:lang w:val="zh-CN" w:bidi="zh-CN"/>
              </w:rPr>
              <w:t>项目设备</w:t>
            </w:r>
            <w:r>
              <w:rPr>
                <w:rFonts w:hint="eastAsia" w:ascii="宋体" w:hAnsi="宋体" w:eastAsia="宋体" w:cs="宋体"/>
                <w:color w:val="000000"/>
                <w:sz w:val="24"/>
                <w:szCs w:val="24"/>
                <w:lang w:val="zh-CN"/>
              </w:rPr>
              <w:t>采取隔音、</w:t>
            </w:r>
            <w:r>
              <w:rPr>
                <w:rFonts w:hint="eastAsia" w:ascii="宋体" w:hAnsi="宋体" w:eastAsia="宋体" w:cs="宋体"/>
                <w:color w:val="000000"/>
                <w:sz w:val="24"/>
                <w:szCs w:val="24"/>
              </w:rPr>
              <w:t>房屋四周种植绿化植被降噪等措施对周围环境影响较小。</w:t>
            </w:r>
          </w:p>
          <w:p>
            <w:pPr>
              <w:widowControl w:val="0"/>
              <w:numPr>
                <w:ilvl w:val="0"/>
                <w:numId w:val="2"/>
              </w:numPr>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固体废物</w:t>
            </w:r>
          </w:p>
          <w:p>
            <w:pPr>
              <w:widowControl/>
              <w:ind w:firstLine="472" w:firstLineChars="200"/>
              <w:jc w:val="left"/>
              <w:rPr>
                <w:rFonts w:ascii="Times New Roman" w:hAnsi="Times New Roman"/>
                <w:sz w:val="24"/>
                <w:szCs w:val="24"/>
              </w:rPr>
            </w:pPr>
            <w:r>
              <w:rPr>
                <w:rFonts w:ascii="Times New Roman" w:hAnsi="Times New Roman" w:eastAsia="宋体"/>
                <w:spacing w:val="-2"/>
                <w:sz w:val="24"/>
                <w:szCs w:val="24"/>
                <w:lang w:val="zh-CN" w:bidi="zh-CN"/>
              </w:rPr>
              <w:t>本项目</w:t>
            </w:r>
            <w:r>
              <w:rPr>
                <w:rFonts w:ascii="Times New Roman" w:hAnsi="Times New Roman" w:eastAsia="宋体"/>
                <w:color w:val="000000"/>
                <w:sz w:val="24"/>
                <w:szCs w:val="24"/>
                <w:lang w:val="zh-CN"/>
              </w:rPr>
              <w:t>运营期</w:t>
            </w:r>
            <w:r>
              <w:rPr>
                <w:rFonts w:ascii="Times New Roman" w:hAnsi="Times New Roman" w:eastAsia="宋体"/>
                <w:color w:val="000000"/>
                <w:sz w:val="24"/>
                <w:szCs w:val="24"/>
              </w:rPr>
              <w:t>固体废物主要为</w:t>
            </w:r>
            <w:r>
              <w:rPr>
                <w:rFonts w:hint="eastAsia" w:ascii="Times New Roman" w:hAnsi="Times New Roman" w:eastAsia="宋体"/>
                <w:color w:val="000000"/>
                <w:sz w:val="24"/>
                <w:szCs w:val="24"/>
              </w:rPr>
              <w:t>化粪池污泥和</w:t>
            </w:r>
            <w:r>
              <w:rPr>
                <w:rFonts w:ascii="Times New Roman" w:hAnsi="Times New Roman" w:eastAsia="宋体"/>
                <w:color w:val="000000"/>
                <w:sz w:val="24"/>
                <w:szCs w:val="24"/>
              </w:rPr>
              <w:t>生活垃圾。</w:t>
            </w:r>
          </w:p>
          <w:p>
            <w:pPr>
              <w:widowControl w:val="0"/>
              <w:adjustRightInd/>
              <w:snapToGrid/>
              <w:spacing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化粪池污泥由物业公司交由专业处理机构处理，每半年清理一次</w:t>
            </w:r>
            <w:r>
              <w:rPr>
                <w:rFonts w:hint="eastAsia" w:ascii="Times New Roman" w:hAnsi="Times New Roman" w:eastAsia="宋体"/>
                <w:sz w:val="24"/>
                <w:szCs w:val="24"/>
              </w:rPr>
              <w:t>（附件3）</w:t>
            </w:r>
            <w:r>
              <w:rPr>
                <w:rFonts w:hint="eastAsia" w:ascii="Times New Roman" w:hAnsi="Times New Roman" w:eastAsia="宋体"/>
                <w:color w:val="000000"/>
                <w:sz w:val="24"/>
                <w:szCs w:val="24"/>
              </w:rPr>
              <w:t>；生活垃圾集中收集，定期由环卫部门收集送往垃圾填埋场处置。</w:t>
            </w:r>
          </w:p>
        </w:tc>
      </w:tr>
    </w:tbl>
    <w:p>
      <w:pPr>
        <w:spacing w:line="120" w:lineRule="auto"/>
        <w:rPr>
          <w:rFonts w:eastAsia="仿宋_GB2312"/>
          <w:b/>
          <w:color w:val="000000" w:themeColor="text1"/>
          <w:sz w:val="32"/>
          <w:szCs w:val="32"/>
        </w:rPr>
      </w:pPr>
    </w:p>
    <w:p>
      <w:pPr>
        <w:spacing w:line="120" w:lineRule="auto"/>
        <w:rPr>
          <w:rFonts w:hint="eastAsia" w:eastAsia="仿宋_GB2312"/>
          <w:b/>
          <w:color w:val="000000" w:themeColor="text1"/>
          <w:sz w:val="32"/>
          <w:szCs w:val="32"/>
        </w:rPr>
      </w:pPr>
    </w:p>
    <w:p>
      <w:pPr>
        <w:spacing w:line="120" w:lineRule="auto"/>
        <w:rPr>
          <w:rFonts w:hint="eastAsia" w:eastAsia="仿宋_GB2312"/>
          <w:b/>
          <w:color w:val="000000" w:themeColor="text1"/>
          <w:sz w:val="32"/>
          <w:szCs w:val="32"/>
        </w:rPr>
      </w:pPr>
    </w:p>
    <w:p>
      <w:pPr>
        <w:spacing w:line="120" w:lineRule="auto"/>
        <w:rPr>
          <w:rFonts w:hint="eastAsia" w:eastAsia="仿宋_GB2312"/>
          <w:b/>
          <w:color w:val="000000" w:themeColor="text1"/>
          <w:sz w:val="32"/>
          <w:szCs w:val="32"/>
        </w:rPr>
      </w:pPr>
    </w:p>
    <w:p>
      <w:pPr>
        <w:spacing w:line="276" w:lineRule="auto"/>
        <w:rPr>
          <w:rFonts w:eastAsia="仿宋_GB2312"/>
          <w:b/>
          <w:color w:val="000000" w:themeColor="text1"/>
          <w:sz w:val="32"/>
          <w:szCs w:val="32"/>
        </w:rPr>
      </w:pPr>
      <w:r>
        <w:rPr>
          <w:rFonts w:hint="eastAsia" w:eastAsia="仿宋_GB2312"/>
          <w:b/>
          <w:color w:val="000000" w:themeColor="text1"/>
          <w:sz w:val="32"/>
          <w:szCs w:val="32"/>
        </w:rPr>
        <w:t>表四</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6" w:hRule="atLeast"/>
        </w:trPr>
        <w:tc>
          <w:tcPr>
            <w:tcW w:w="9854" w:type="dxa"/>
          </w:tcPr>
          <w:p>
            <w:pPr>
              <w:widowControl w:val="0"/>
              <w:spacing w:beforeLines="20"/>
              <w:jc w:val="both"/>
              <w:rPr>
                <w:rFonts w:ascii="Times New Roman" w:hAnsi="Times New Roman" w:eastAsia="宋体"/>
                <w:b/>
                <w:bCs/>
                <w:color w:val="000000" w:themeColor="text1"/>
                <w:sz w:val="28"/>
                <w:szCs w:val="28"/>
              </w:rPr>
            </w:pPr>
            <w:r>
              <w:rPr>
                <w:rFonts w:hint="eastAsia" w:ascii="Times New Roman" w:hAnsi="Times New Roman" w:eastAsia="宋体"/>
                <w:b/>
                <w:bCs/>
                <w:color w:val="000000" w:themeColor="text1"/>
                <w:sz w:val="28"/>
                <w:szCs w:val="28"/>
              </w:rPr>
              <w:t>一、</w:t>
            </w:r>
            <w:r>
              <w:rPr>
                <w:rFonts w:ascii="Times New Roman" w:hAnsi="Times New Roman" w:eastAsia="宋体"/>
                <w:b/>
                <w:bCs/>
                <w:color w:val="000000" w:themeColor="text1"/>
                <w:sz w:val="28"/>
                <w:szCs w:val="28"/>
              </w:rPr>
              <w:t>建设项目环境影响报告表主要结论</w:t>
            </w:r>
            <w:r>
              <w:rPr>
                <w:rFonts w:hint="eastAsia" w:ascii="Times New Roman" w:hAnsi="Times New Roman" w:eastAsia="宋体"/>
                <w:b/>
                <w:bCs/>
                <w:color w:val="000000" w:themeColor="text1"/>
                <w:sz w:val="28"/>
                <w:szCs w:val="28"/>
              </w:rPr>
              <w:t>：</w:t>
            </w:r>
          </w:p>
          <w:p>
            <w:pPr>
              <w:pStyle w:val="2"/>
              <w:ind w:firstLine="480" w:firstLineChars="200"/>
              <w:jc w:val="both"/>
              <w:rPr>
                <w:rFonts w:ascii="Times New Roman" w:hAnsi="Times New Roman" w:cs="Times New Roman"/>
                <w:color w:val="000000" w:themeColor="text1"/>
              </w:rPr>
            </w:pPr>
            <w:r>
              <w:rPr>
                <w:rFonts w:hint="eastAsia" w:ascii="Times New Roman" w:hAnsi="Times New Roman" w:cs="Times New Roman"/>
                <w:color w:val="000000" w:themeColor="text1"/>
              </w:rPr>
              <w:t>1.1 产业政策符合性分析</w:t>
            </w:r>
          </w:p>
          <w:p>
            <w:pPr>
              <w:pStyle w:val="2"/>
              <w:spacing w:line="360" w:lineRule="auto"/>
              <w:ind w:firstLine="480" w:firstLineChars="200"/>
              <w:jc w:val="both"/>
              <w:rPr>
                <w:rFonts w:hAnsi="宋体"/>
              </w:rPr>
            </w:pPr>
            <w:r>
              <w:rPr>
                <w:rFonts w:hint="eastAsia"/>
              </w:rPr>
              <w:t>本项目属于房屋建筑业</w:t>
            </w:r>
            <w:r>
              <w:rPr>
                <w:rFonts w:hint="eastAsia" w:hAnsi="宋体"/>
              </w:rPr>
              <w:t>，根据《产业结构调整指导目录（2011年本）》（2013年修正），不属于鼓励类，也不属于限制类和淘汰类。因此，本项目应属于允许类，符合国家现行产业政策。</w:t>
            </w:r>
          </w:p>
          <w:p>
            <w:pPr>
              <w:pStyle w:val="2"/>
              <w:ind w:firstLine="480" w:firstLineChars="200"/>
              <w:jc w:val="both"/>
              <w:rPr>
                <w:rFonts w:ascii="Times New Roman" w:hAnsi="Times New Roman" w:cs="Times New Roman"/>
              </w:rPr>
            </w:pPr>
            <w:r>
              <w:rPr>
                <w:rFonts w:hint="eastAsia" w:ascii="Times New Roman" w:hAnsi="Times New Roman" w:cs="Times New Roman"/>
              </w:rPr>
              <w:t>1.2 营运期主要环境问题及防治措施</w:t>
            </w:r>
          </w:p>
          <w:p>
            <w:pPr>
              <w:widowControl w:val="0"/>
              <w:tabs>
                <w:tab w:val="left" w:pos="6489"/>
              </w:tabs>
              <w:spacing w:after="100"/>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（1）大气环境</w:t>
            </w:r>
            <w:r>
              <w:rPr>
                <w:rFonts w:hint="eastAsia" w:ascii="Times New Roman" w:hAnsi="Times New Roman" w:eastAsia="宋体"/>
                <w:color w:val="000000"/>
                <w:sz w:val="24"/>
                <w:szCs w:val="24"/>
              </w:rPr>
              <w:t>影响和措施</w:t>
            </w:r>
          </w:p>
          <w:p>
            <w:pPr>
              <w:widowControl w:val="0"/>
              <w:tabs>
                <w:tab w:val="left" w:pos="6489"/>
              </w:tabs>
              <w:spacing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厕所和垃圾产生的恶臭，定期喷洒除臭剂，保持清洁，产生的恶臭量较小。</w:t>
            </w:r>
          </w:p>
          <w:p>
            <w:pPr>
              <w:pStyle w:val="2"/>
              <w:spacing w:line="360" w:lineRule="auto"/>
              <w:ind w:firstLine="480" w:firstLineChars="200"/>
              <w:jc w:val="both"/>
              <w:rPr>
                <w:rFonts w:ascii="Times New Roman" w:hAnsi="Times New Roman" w:cs="Times New Roman"/>
              </w:rPr>
            </w:pPr>
            <w:r>
              <w:rPr>
                <w:rFonts w:hint="eastAsia" w:ascii="Times New Roman" w:hAnsi="Times New Roman" w:cs="Times New Roman"/>
                <w:color w:val="auto"/>
              </w:rPr>
              <w:t>柴油发电机废气能满足(非道路移动机械用柴油机排气污染物排放限值及测量方法（中国第三、四阶段》（GB20891-2014））要求，发电机排放的废气由专用烟道引至屋面排入大气，对周围环境不产生明显的影响。</w:t>
            </w:r>
            <w:r>
              <w:rPr>
                <w:rFonts w:hint="eastAsia" w:ascii="Times New Roman" w:hAnsi="Times New Roman" w:cs="Times New Roman"/>
                <w:color w:val="auto"/>
              </w:rPr>
              <w:br w:type="textWrapping"/>
            </w:r>
            <w:r>
              <w:rPr>
                <w:rFonts w:hint="eastAsia" w:ascii="Times New Roman" w:hAnsi="Times New Roman" w:cs="Times New Roman"/>
                <w:color w:val="auto"/>
              </w:rPr>
              <w:t xml:space="preserve">    营运期间应加强地下停车场通风，排风井附近加强绿化，避免停车场废气浓度过高。不会对环境空气造成</w:t>
            </w:r>
            <w:r>
              <w:rPr>
                <w:rFonts w:hint="eastAsia" w:ascii="Times New Roman" w:hAnsi="Times New Roman" w:cs="Times New Roman"/>
              </w:rPr>
              <w:t>明显的影响。</w:t>
            </w:r>
          </w:p>
          <w:p>
            <w:pPr>
              <w:pStyle w:val="2"/>
              <w:ind w:firstLine="480" w:firstLineChars="200"/>
              <w:jc w:val="both"/>
              <w:rPr>
                <w:rFonts w:ascii="Times New Roman" w:hAnsi="Times New Roman" w:cs="Times New Roman"/>
                <w:color w:val="auto"/>
              </w:rPr>
            </w:pPr>
            <w:r>
              <w:rPr>
                <w:rFonts w:ascii="Times New Roman" w:hAnsi="Times New Roman" w:cs="Times New Roman"/>
              </w:rPr>
              <w:t>（2）水环境</w:t>
            </w:r>
            <w:r>
              <w:rPr>
                <w:rFonts w:hint="eastAsia" w:ascii="Times New Roman" w:hAnsi="Times New Roman" w:cs="Times New Roman"/>
              </w:rPr>
              <w:t>影响和</w:t>
            </w:r>
            <w:r>
              <w:rPr>
                <w:rFonts w:hint="eastAsia" w:ascii="Times New Roman" w:hAnsi="Times New Roman" w:cs="Times New Roman"/>
                <w:color w:val="auto"/>
              </w:rPr>
              <w:t>防治</w:t>
            </w:r>
            <w:r>
              <w:rPr>
                <w:rFonts w:hint="eastAsia" w:ascii="Times New Roman" w:hAnsi="Times New Roman" w:cs="Times New Roman"/>
              </w:rPr>
              <w:t>措施</w:t>
            </w:r>
          </w:p>
          <w:p>
            <w:pPr>
              <w:widowControl w:val="0"/>
              <w:tabs>
                <w:tab w:val="left" w:pos="6489"/>
              </w:tabs>
              <w:spacing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项目排水采用雨污分流。本项目根据地形和建筑安排设计了1个雨水排口和1个排污口，其中雨水排口与市政雨水管网搭接，污水排污口与市政污水管网搭接。</w:t>
            </w:r>
            <w:r>
              <w:rPr>
                <w:rFonts w:hint="eastAsia" w:ascii="Times New Roman" w:hAnsi="Times New Roman" w:eastAsia="宋体"/>
                <w:sz w:val="24"/>
                <w:szCs w:val="24"/>
              </w:rPr>
              <w:br w:type="textWrapping"/>
            </w:r>
            <w:r>
              <w:rPr>
                <w:rFonts w:hint="eastAsia" w:ascii="Times New Roman" w:hAnsi="Times New Roman" w:eastAsia="宋体"/>
                <w:sz w:val="24"/>
                <w:szCs w:val="24"/>
              </w:rPr>
              <w:t xml:space="preserve">    生活污水经化粪池预处理达到《污水综合排放标准》 (GB8978-1996) 三级标准后，经小区内污水管道汇入市政管网，最终进入道真县污水处理厂处理达标后排放。</w:t>
            </w:r>
          </w:p>
          <w:p>
            <w:pPr>
              <w:widowControl w:val="0"/>
              <w:tabs>
                <w:tab w:val="left" w:pos="6489"/>
              </w:tabs>
              <w:spacing w:line="12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（3）声环境</w:t>
            </w:r>
            <w:r>
              <w:rPr>
                <w:rFonts w:hint="eastAsia" w:ascii="Times New Roman" w:hAnsi="Times New Roman" w:eastAsia="宋体"/>
                <w:color w:val="000000"/>
                <w:sz w:val="24"/>
                <w:szCs w:val="24"/>
              </w:rPr>
              <w:t>影响和</w:t>
            </w:r>
            <w:r>
              <w:rPr>
                <w:rFonts w:hint="eastAsia" w:ascii="Times New Roman" w:hAnsi="Times New Roman" w:eastAsia="宋体"/>
                <w:sz w:val="24"/>
                <w:szCs w:val="24"/>
              </w:rPr>
              <w:t>防治</w:t>
            </w:r>
            <w:r>
              <w:rPr>
                <w:rFonts w:hint="eastAsia" w:ascii="Times New Roman" w:hAnsi="Times New Roman" w:eastAsia="宋体"/>
                <w:color w:val="000000"/>
                <w:sz w:val="24"/>
                <w:szCs w:val="24"/>
              </w:rPr>
              <w:t>措施</w:t>
            </w:r>
          </w:p>
          <w:p>
            <w:pPr>
              <w:widowControl w:val="0"/>
              <w:tabs>
                <w:tab w:val="left" w:pos="6489"/>
              </w:tabs>
              <w:spacing w:line="360" w:lineRule="auto"/>
              <w:ind w:firstLine="480" w:firstLineChars="200"/>
              <w:jc w:val="both"/>
              <w:rPr>
                <w:rFonts w:ascii="宋体" w:hAnsi="宋体" w:eastAsia="宋体" w:cs="宋体"/>
                <w:sz w:val="24"/>
                <w:szCs w:val="24"/>
              </w:rPr>
            </w:pPr>
            <w:r>
              <w:rPr>
                <w:rFonts w:ascii="宋体" w:hAnsi="宋体" w:eastAsia="宋体" w:cs="宋体"/>
                <w:sz w:val="24"/>
                <w:szCs w:val="24"/>
              </w:rPr>
              <w:t>项目建设完成后，噪声源主要是地下车库抽排风机、水泵、柴油发电机产生的噪</w:t>
            </w:r>
            <w:r>
              <w:rPr>
                <w:rFonts w:hint="eastAsia" w:ascii="宋体" w:hAnsi="宋体" w:eastAsia="宋体" w:cs="宋体"/>
                <w:sz w:val="24"/>
                <w:szCs w:val="24"/>
              </w:rPr>
              <w:t>声。</w:t>
            </w:r>
          </w:p>
          <w:p>
            <w:pPr>
              <w:widowControl w:val="0"/>
              <w:tabs>
                <w:tab w:val="left" w:pos="6489"/>
              </w:tabs>
              <w:spacing w:line="360" w:lineRule="auto"/>
              <w:ind w:firstLine="480" w:firstLineChars="200"/>
              <w:jc w:val="both"/>
              <w:rPr>
                <w:rFonts w:ascii="Times New Roman" w:hAnsi="Times New Roman" w:eastAsia="宋体"/>
                <w:sz w:val="24"/>
                <w:szCs w:val="24"/>
              </w:rPr>
            </w:pPr>
            <w:r>
              <w:rPr>
                <w:rFonts w:ascii="宋体" w:hAnsi="宋体" w:eastAsia="宋体" w:cs="宋体"/>
                <w:sz w:val="24"/>
                <w:szCs w:val="24"/>
              </w:rPr>
              <w:t>使用低噪声设备，采取减振、消声措施后，并将设备放置在独立的隔声单间，设置吸声墙体，充分利用建筑物隔声，对区域声环境产生影响较小，不会对周边居民及小区内居民的生活造成影响。</w:t>
            </w:r>
          </w:p>
          <w:p>
            <w:pPr>
              <w:widowControl w:val="0"/>
              <w:tabs>
                <w:tab w:val="left" w:pos="6489"/>
              </w:tabs>
              <w:spacing w:line="12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（4）</w:t>
            </w:r>
            <w:r>
              <w:rPr>
                <w:rFonts w:ascii="Times New Roman" w:hAnsi="Times New Roman" w:eastAsia="宋体"/>
                <w:color w:val="000000"/>
                <w:sz w:val="24"/>
                <w:szCs w:val="24"/>
              </w:rPr>
              <w:t>固体废物</w:t>
            </w:r>
            <w:r>
              <w:rPr>
                <w:rFonts w:hint="eastAsia" w:ascii="Times New Roman" w:hAnsi="Times New Roman" w:eastAsia="宋体"/>
                <w:color w:val="000000"/>
                <w:sz w:val="24"/>
                <w:szCs w:val="24"/>
              </w:rPr>
              <w:t>影响和</w:t>
            </w:r>
            <w:r>
              <w:rPr>
                <w:rFonts w:hint="eastAsia" w:ascii="Times New Roman" w:hAnsi="Times New Roman" w:eastAsia="宋体"/>
                <w:sz w:val="24"/>
                <w:szCs w:val="24"/>
              </w:rPr>
              <w:t>防治</w:t>
            </w:r>
            <w:r>
              <w:rPr>
                <w:rFonts w:hint="eastAsia" w:ascii="Times New Roman" w:hAnsi="Times New Roman" w:eastAsia="宋体"/>
                <w:color w:val="000000"/>
                <w:sz w:val="24"/>
                <w:szCs w:val="24"/>
              </w:rPr>
              <w:t>措施</w:t>
            </w:r>
          </w:p>
          <w:p>
            <w:pPr>
              <w:pStyle w:val="2"/>
              <w:spacing w:line="360" w:lineRule="auto"/>
              <w:ind w:firstLine="480" w:firstLineChars="200"/>
              <w:jc w:val="both"/>
              <w:rPr>
                <w:rFonts w:ascii="Times New Roman" w:hAnsi="Times New Roman" w:cs="Times New Roman"/>
                <w:color w:val="auto"/>
              </w:rPr>
            </w:pPr>
            <w:r>
              <w:rPr>
                <w:rFonts w:hAnsi="宋体"/>
              </w:rPr>
              <w:t>本项目产生的生活垃圾经垃圾桶收集后</w:t>
            </w:r>
            <w:r>
              <w:rPr>
                <w:rFonts w:ascii="Times New Roman" w:hAnsi="Times New Roman" w:cs="Times New Roman"/>
              </w:rPr>
              <w:t>，委托当地环卫部门运至道真县市生活垃圾填埋场进行填埋。化粪池污泥经脱水，含水率低于60%后</w:t>
            </w:r>
            <w:r>
              <w:rPr>
                <w:rFonts w:hAnsi="宋体"/>
              </w:rPr>
              <w:t>委托当地环卫部门定期清理，运至道真县市生活垃圾填埋场进行填埋</w:t>
            </w:r>
            <w:r>
              <w:rPr>
                <w:rFonts w:hint="eastAsia" w:hAnsi="宋体"/>
              </w:rPr>
              <w:t>，</w:t>
            </w:r>
            <w:r>
              <w:rPr>
                <w:rFonts w:hAnsi="宋体"/>
              </w:rPr>
              <w:t>采取以上措施后，本项目产生的固体废物得到妥善处置，对环境影响不大。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854" w:type="dxa"/>
          </w:tcPr>
          <w:p>
            <w:pPr>
              <w:widowControl w:val="0"/>
              <w:spacing w:beforeLines="20"/>
              <w:jc w:val="both"/>
              <w:rPr>
                <w:rFonts w:ascii="Times New Roman" w:hAnsi="Times New Roman" w:eastAsia="宋体"/>
                <w:b/>
                <w:bCs/>
                <w:color w:val="000000"/>
                <w:sz w:val="28"/>
                <w:szCs w:val="28"/>
              </w:rPr>
            </w:pPr>
            <w:r>
              <w:rPr>
                <w:rFonts w:hint="eastAsia" w:ascii="Times New Roman" w:hAnsi="Times New Roman" w:eastAsia="宋体"/>
                <w:b/>
                <w:bCs/>
                <w:color w:val="000000"/>
                <w:sz w:val="28"/>
                <w:szCs w:val="28"/>
              </w:rPr>
              <w:t>二、</w:t>
            </w:r>
            <w:r>
              <w:rPr>
                <w:rFonts w:ascii="Times New Roman" w:hAnsi="Times New Roman" w:eastAsia="宋体"/>
                <w:b/>
                <w:bCs/>
                <w:color w:val="000000"/>
                <w:sz w:val="28"/>
                <w:szCs w:val="28"/>
              </w:rPr>
              <w:t>审批部门审批决定：</w:t>
            </w:r>
          </w:p>
          <w:p>
            <w:pPr>
              <w:pStyle w:val="2"/>
              <w:spacing w:line="360" w:lineRule="auto"/>
              <w:ind w:firstLine="480" w:firstLineChars="200"/>
              <w:jc w:val="both"/>
              <w:rPr>
                <w:rFonts w:ascii="Times New Roman" w:hAnsi="Times New Roman" w:cs="Times New Roman"/>
                <w:color w:val="000000" w:themeColor="text1"/>
              </w:rPr>
            </w:pPr>
            <w:r>
              <w:rPr>
                <w:rFonts w:ascii="Times New Roman" w:hAnsi="Times New Roman" w:cs="Times New Roman"/>
                <w:color w:val="auto"/>
              </w:rPr>
              <w:t>见附件1</w:t>
            </w:r>
          </w:p>
        </w:tc>
      </w:tr>
    </w:tbl>
    <w:p>
      <w:pPr>
        <w:rPr>
          <w:rFonts w:hint="eastAsia" w:eastAsia="仿宋_GB2312"/>
          <w:b/>
          <w:color w:val="000000"/>
          <w:sz w:val="32"/>
          <w:szCs w:val="32"/>
        </w:rPr>
      </w:pPr>
    </w:p>
    <w:p>
      <w:pPr>
        <w:rPr>
          <w:rFonts w:eastAsia="仿宋_GB2312"/>
          <w:b/>
          <w:color w:val="000000"/>
          <w:sz w:val="32"/>
          <w:szCs w:val="32"/>
        </w:rPr>
      </w:pPr>
      <w:r>
        <w:rPr>
          <w:rFonts w:eastAsia="仿宋_GB2312"/>
          <w:b/>
          <w:color w:val="000000"/>
          <w:sz w:val="32"/>
          <w:szCs w:val="32"/>
        </w:rPr>
        <w:t>表</w:t>
      </w:r>
      <w:r>
        <w:rPr>
          <w:rFonts w:hint="eastAsia" w:eastAsia="仿宋_GB2312"/>
          <w:b/>
          <w:color w:val="000000"/>
          <w:sz w:val="32"/>
          <w:szCs w:val="32"/>
        </w:rPr>
        <w:t>五</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1" w:hRule="atLeast"/>
        </w:trPr>
        <w:tc>
          <w:tcPr>
            <w:tcW w:w="9854" w:type="dxa"/>
          </w:tcPr>
          <w:p>
            <w:pPr>
              <w:widowControl w:val="0"/>
              <w:spacing w:beforeLines="20"/>
              <w:jc w:val="both"/>
              <w:rPr>
                <w:rFonts w:ascii="Times New Roman" w:hAnsi="Times New Roman" w:eastAsia="宋体"/>
                <w:b/>
                <w:bCs/>
                <w:color w:val="000000"/>
                <w:sz w:val="28"/>
                <w:szCs w:val="28"/>
              </w:rPr>
            </w:pPr>
            <w:r>
              <w:rPr>
                <w:rFonts w:hint="eastAsia" w:ascii="Times New Roman" w:hAnsi="Times New Roman" w:eastAsia="宋体"/>
                <w:b/>
                <w:bCs/>
                <w:color w:val="000000"/>
                <w:sz w:val="28"/>
                <w:szCs w:val="28"/>
              </w:rPr>
              <w:t>验收监测质量保证及质量控制：</w:t>
            </w:r>
          </w:p>
          <w:p>
            <w:pPr>
              <w:widowControl/>
              <w:numPr>
                <w:ilvl w:val="0"/>
                <w:numId w:val="3"/>
              </w:numPr>
              <w:spacing w:line="280" w:lineRule="exact"/>
              <w:ind w:firstLine="480" w:firstLineChars="200"/>
              <w:jc w:val="both"/>
              <w:rPr>
                <w:rFonts w:ascii="Times New Roman" w:hAnsi="Times New Roman" w:eastAsia="宋体"/>
                <w:color w:val="000000"/>
                <w:sz w:val="24"/>
                <w:szCs w:val="24"/>
              </w:rPr>
            </w:pPr>
            <w:bookmarkStart w:id="0" w:name="_Toc424_WPSOffice_Level1"/>
            <w:r>
              <w:rPr>
                <w:rFonts w:ascii="Times New Roman" w:hAnsi="Times New Roman" w:eastAsia="宋体"/>
                <w:color w:val="000000"/>
                <w:sz w:val="24"/>
                <w:szCs w:val="24"/>
              </w:rPr>
              <w:t>监测分析方法</w:t>
            </w:r>
            <w:bookmarkEnd w:id="0"/>
            <w:bookmarkStart w:id="1" w:name="_Toc8172_WPSOffice_Level2"/>
          </w:p>
          <w:p>
            <w:pPr>
              <w:widowControl w:val="0"/>
              <w:adjustRightInd/>
              <w:snapToGrid/>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1.1 废水监测分析方法见表5-1。</w:t>
            </w:r>
          </w:p>
          <w:p>
            <w:pPr>
              <w:widowControl/>
              <w:jc w:val="center"/>
              <w:rPr>
                <w:rFonts w:ascii="Times New Roman" w:hAnsi="Times New Roman" w:eastAsia="宋体"/>
                <w:b/>
                <w:bCs/>
                <w:color w:val="000000"/>
                <w:sz w:val="24"/>
                <w:szCs w:val="24"/>
              </w:rPr>
            </w:pPr>
            <w:r>
              <w:rPr>
                <w:rFonts w:ascii="Times New Roman" w:hAnsi="Times New Roman" w:eastAsia="宋体"/>
                <w:b/>
                <w:bCs/>
                <w:color w:val="000000"/>
                <w:sz w:val="24"/>
                <w:szCs w:val="24"/>
              </w:rPr>
              <w:t>表5-1 废水监测分析方法</w:t>
            </w:r>
          </w:p>
          <w:tbl>
            <w:tblPr>
              <w:tblStyle w:val="12"/>
              <w:tblW w:w="9638" w:type="dxa"/>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3389"/>
              <w:gridCol w:w="2906"/>
              <w:gridCol w:w="1680"/>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63"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项目</w:t>
                  </w:r>
                </w:p>
              </w:tc>
              <w:tc>
                <w:tcPr>
                  <w:tcW w:w="3389"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监测分析方法</w:t>
                  </w:r>
                </w:p>
              </w:tc>
              <w:tc>
                <w:tcPr>
                  <w:tcW w:w="2906"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方法依据</w:t>
                  </w:r>
                </w:p>
              </w:tc>
              <w:tc>
                <w:tcPr>
                  <w:tcW w:w="1680"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检出限</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63"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pH</w:t>
                  </w:r>
                </w:p>
              </w:tc>
              <w:tc>
                <w:tcPr>
                  <w:tcW w:w="3389"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玻璃电极法</w:t>
                  </w:r>
                </w:p>
              </w:tc>
              <w:tc>
                <w:tcPr>
                  <w:tcW w:w="2906"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GB 6920-1986</w:t>
                  </w:r>
                </w:p>
              </w:tc>
              <w:tc>
                <w:tcPr>
                  <w:tcW w:w="1680"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b/>
                      <w:bCs/>
                      <w:sz w:val="21"/>
                      <w:szCs w:val="21"/>
                    </w:rPr>
                    <w:t>/</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663"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3389"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快速密闭催化消解法</w:t>
                  </w:r>
                </w:p>
              </w:tc>
              <w:tc>
                <w:tcPr>
                  <w:tcW w:w="2906"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《水和废水监测分析方法》</w:t>
                  </w:r>
                </w:p>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（第四版增补版）</w:t>
                  </w:r>
                </w:p>
              </w:tc>
              <w:tc>
                <w:tcPr>
                  <w:tcW w:w="1680"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4mg/L</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63"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389"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稀释与接种法</w:t>
                  </w:r>
                </w:p>
              </w:tc>
              <w:tc>
                <w:tcPr>
                  <w:tcW w:w="2906"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HJ 505-2009</w:t>
                  </w:r>
                </w:p>
              </w:tc>
              <w:tc>
                <w:tcPr>
                  <w:tcW w:w="1680"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sz w:val="21"/>
                      <w:szCs w:val="21"/>
                    </w:rPr>
                    <w:t>0.5mg/L</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63"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氨氮</w:t>
                  </w:r>
                </w:p>
              </w:tc>
              <w:tc>
                <w:tcPr>
                  <w:tcW w:w="3389" w:type="dxa"/>
                  <w:tcBorders>
                    <w:tl2br w:val="nil"/>
                    <w:tr2bl w:val="nil"/>
                  </w:tcBorders>
                  <w:vAlign w:val="center"/>
                </w:tcPr>
                <w:p>
                  <w:pPr>
                    <w:pStyle w:val="2"/>
                    <w:jc w:val="center"/>
                    <w:rPr>
                      <w:rFonts w:ascii="Times New Roman" w:hAnsi="Times New Roman" w:cs="Times New Roman"/>
                      <w:color w:val="0000FF"/>
                      <w:sz w:val="21"/>
                      <w:szCs w:val="21"/>
                    </w:rPr>
                  </w:pPr>
                  <w:r>
                    <w:rPr>
                      <w:rFonts w:ascii="Times New Roman" w:hAnsi="Times New Roman" w:cs="Times New Roman"/>
                      <w:color w:val="000000" w:themeColor="text1"/>
                      <w:sz w:val="21"/>
                      <w:szCs w:val="21"/>
                    </w:rPr>
                    <w:t>纳氏试剂分光光度法</w:t>
                  </w:r>
                </w:p>
              </w:tc>
              <w:tc>
                <w:tcPr>
                  <w:tcW w:w="2906" w:type="dxa"/>
                  <w:tcBorders>
                    <w:tl2br w:val="nil"/>
                    <w:tr2bl w:val="nil"/>
                  </w:tcBorders>
                  <w:vAlign w:val="center"/>
                </w:tcPr>
                <w:p>
                  <w:pPr>
                    <w:pStyle w:val="2"/>
                    <w:jc w:val="center"/>
                    <w:rPr>
                      <w:rFonts w:ascii="Times New Roman" w:hAnsi="Times New Roman" w:cs="Times New Roman"/>
                      <w:color w:val="0000FF"/>
                      <w:sz w:val="21"/>
                      <w:szCs w:val="21"/>
                    </w:rPr>
                  </w:pPr>
                  <w:r>
                    <w:rPr>
                      <w:rFonts w:ascii="Times New Roman" w:hAnsi="Times New Roman" w:cs="Times New Roman"/>
                      <w:color w:val="000000" w:themeColor="text1"/>
                      <w:sz w:val="21"/>
                      <w:szCs w:val="21"/>
                    </w:rPr>
                    <w:t>HJ 535-2009</w:t>
                  </w:r>
                </w:p>
              </w:tc>
              <w:tc>
                <w:tcPr>
                  <w:tcW w:w="1680" w:type="dxa"/>
                  <w:tcBorders>
                    <w:tl2br w:val="nil"/>
                    <w:tr2bl w:val="nil"/>
                  </w:tcBorders>
                  <w:vAlign w:val="center"/>
                </w:tcPr>
                <w:p>
                  <w:pPr>
                    <w:pStyle w:val="2"/>
                    <w:jc w:val="center"/>
                    <w:rPr>
                      <w:rFonts w:ascii="Times New Roman" w:hAnsi="Times New Roman" w:cs="Times New Roman"/>
                      <w:color w:val="0000FF"/>
                      <w:sz w:val="21"/>
                      <w:szCs w:val="21"/>
                    </w:rPr>
                  </w:pPr>
                  <w:r>
                    <w:rPr>
                      <w:rFonts w:ascii="Times New Roman" w:hAnsi="Times New Roman" w:cs="Times New Roman"/>
                      <w:b/>
                      <w:bCs/>
                      <w:color w:val="auto"/>
                      <w:sz w:val="21"/>
                      <w:szCs w:val="21"/>
                    </w:rPr>
                    <w:t>/</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63" w:type="dxa"/>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动植物油</w:t>
                  </w:r>
                </w:p>
              </w:tc>
              <w:tc>
                <w:tcPr>
                  <w:tcW w:w="3389" w:type="dxa"/>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红外分光光度法</w:t>
                  </w:r>
                </w:p>
              </w:tc>
              <w:tc>
                <w:tcPr>
                  <w:tcW w:w="2906" w:type="dxa"/>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HJ637-2018</w:t>
                  </w:r>
                </w:p>
              </w:tc>
              <w:tc>
                <w:tcPr>
                  <w:tcW w:w="1680" w:type="dxa"/>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0.06</w:t>
                  </w:r>
                  <w:r>
                    <w:rPr>
                      <w:rFonts w:ascii="Times New Roman" w:hAnsi="Times New Roman" w:cs="Times New Roman"/>
                      <w:sz w:val="21"/>
                      <w:szCs w:val="21"/>
                    </w:rPr>
                    <w:t>mg/L</w:t>
                  </w:r>
                  <w:r>
                    <w:rPr>
                      <w:rFonts w:hint="eastAsia" w:ascii="Times New Roman" w:hAnsi="Times New Roman" w:cs="Times New Roman"/>
                      <w:sz w:val="21"/>
                      <w:szCs w:val="21"/>
                    </w:rPr>
                    <w:t xml:space="preserve"> </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63" w:type="dxa"/>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粪大肠菌群</w:t>
                  </w:r>
                </w:p>
              </w:tc>
              <w:tc>
                <w:tcPr>
                  <w:tcW w:w="3389" w:type="dxa"/>
                  <w:vAlign w:val="center"/>
                </w:tcPr>
                <w:p>
                  <w:pPr>
                    <w:pStyle w:val="2"/>
                    <w:jc w:val="center"/>
                    <w:rPr>
                      <w:rFonts w:ascii="Times New Roman" w:hAnsi="Times New Roman" w:cs="Times New Roman"/>
                      <w:sz w:val="21"/>
                      <w:szCs w:val="21"/>
                    </w:rPr>
                  </w:pPr>
                  <w:r>
                    <w:rPr>
                      <w:rFonts w:ascii="Times New Roman" w:hAnsi="Times New Roman" w:cs="Times New Roman"/>
                      <w:color w:val="auto"/>
                      <w:sz w:val="21"/>
                      <w:szCs w:val="21"/>
                    </w:rPr>
                    <w:t>多管发酵法</w:t>
                  </w:r>
                </w:p>
              </w:tc>
              <w:tc>
                <w:tcPr>
                  <w:tcW w:w="29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HJ 347</w:t>
                  </w:r>
                  <w:r>
                    <w:rPr>
                      <w:rFonts w:hint="eastAsia" w:ascii="Times New Roman" w:hAnsi="Times New Roman" w:cs="Times New Roman"/>
                      <w:sz w:val="21"/>
                      <w:szCs w:val="21"/>
                    </w:rPr>
                    <w:t>.2</w:t>
                  </w:r>
                  <w:r>
                    <w:rPr>
                      <w:rFonts w:ascii="Times New Roman" w:hAnsi="Times New Roman" w:cs="Times New Roman"/>
                      <w:sz w:val="21"/>
                      <w:szCs w:val="21"/>
                    </w:rPr>
                    <w:t>-20</w:t>
                  </w:r>
                  <w:r>
                    <w:rPr>
                      <w:rFonts w:hint="eastAsia" w:ascii="Times New Roman" w:hAnsi="Times New Roman" w:cs="Times New Roman"/>
                      <w:sz w:val="21"/>
                      <w:szCs w:val="21"/>
                    </w:rPr>
                    <w:t>18</w:t>
                  </w:r>
                </w:p>
              </w:tc>
              <w:tc>
                <w:tcPr>
                  <w:tcW w:w="1680"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20MPN/L</w:t>
                  </w:r>
                </w:p>
              </w:tc>
            </w:tr>
          </w:tbl>
          <w:p>
            <w:pPr>
              <w:pStyle w:val="2"/>
              <w:jc w:val="both"/>
            </w:pPr>
          </w:p>
          <w:p>
            <w:pPr>
              <w:widowControl w:val="0"/>
              <w:adjustRightInd/>
              <w:snapToGrid/>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1.2 废气监测分析方法见表5-2。</w:t>
            </w:r>
          </w:p>
          <w:p>
            <w:pPr>
              <w:widowControl/>
              <w:jc w:val="center"/>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表5-2 废气监测分析方法</w:t>
            </w:r>
          </w:p>
          <w:tbl>
            <w:tblPr>
              <w:tblStyle w:val="12"/>
              <w:tblW w:w="9638" w:type="dxa"/>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3247"/>
              <w:gridCol w:w="3478"/>
              <w:gridCol w:w="1679"/>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34"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项目</w:t>
                  </w:r>
                </w:p>
              </w:tc>
              <w:tc>
                <w:tcPr>
                  <w:tcW w:w="3247"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监测分析方法</w:t>
                  </w:r>
                </w:p>
              </w:tc>
              <w:tc>
                <w:tcPr>
                  <w:tcW w:w="3478"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方法依据</w:t>
                  </w:r>
                </w:p>
              </w:tc>
              <w:tc>
                <w:tcPr>
                  <w:tcW w:w="1679"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检出限</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3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臭气浓度*</w:t>
                  </w:r>
                </w:p>
              </w:tc>
              <w:tc>
                <w:tcPr>
                  <w:tcW w:w="324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三点比较式臭袋法</w:t>
                  </w:r>
                </w:p>
              </w:tc>
              <w:tc>
                <w:tcPr>
                  <w:tcW w:w="3478"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GB/T 14675-1993</w:t>
                  </w:r>
                </w:p>
              </w:tc>
              <w:tc>
                <w:tcPr>
                  <w:tcW w:w="1679" w:type="dxa"/>
                  <w:tcBorders>
                    <w:tl2br w:val="nil"/>
                    <w:tr2bl w:val="nil"/>
                  </w:tcBorders>
                  <w:vAlign w:val="center"/>
                </w:tcPr>
                <w:p>
                  <w:pPr>
                    <w:pStyle w:val="2"/>
                    <w:jc w:val="center"/>
                    <w:rPr>
                      <w:rFonts w:ascii="Times New Roman" w:hAnsi="Times New Roman" w:cs="Times New Roman"/>
                      <w:color w:val="0000FF"/>
                      <w:sz w:val="21"/>
                      <w:szCs w:val="21"/>
                    </w:rPr>
                  </w:pPr>
                  <w:r>
                    <w:rPr>
                      <w:rFonts w:hint="eastAsia" w:ascii="Times New Roman" w:hAnsi="Times New Roman" w:cs="Times New Roman"/>
                      <w:color w:val="auto"/>
                      <w:sz w:val="21"/>
                      <w:szCs w:val="21"/>
                    </w:rPr>
                    <w:t>10（无量纲）</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34"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备注</w:t>
                  </w:r>
                </w:p>
              </w:tc>
              <w:tc>
                <w:tcPr>
                  <w:tcW w:w="8404" w:type="dxa"/>
                  <w:gridSpan w:val="3"/>
                  <w:tcBorders>
                    <w:tl2br w:val="nil"/>
                    <w:tr2bl w:val="nil"/>
                  </w:tcBorders>
                  <w:vAlign w:val="center"/>
                </w:tcPr>
                <w:p>
                  <w:pPr>
                    <w:pStyle w:val="2"/>
                    <w:rPr>
                      <w:rFonts w:ascii="Times New Roman" w:hAnsi="Times New Roman" w:cs="Times New Roman"/>
                      <w:color w:val="auto"/>
                      <w:sz w:val="21"/>
                      <w:szCs w:val="21"/>
                    </w:rPr>
                  </w:pPr>
                  <w:r>
                    <w:rPr>
                      <w:rFonts w:hint="eastAsia" w:ascii="Times New Roman" w:hAnsi="Times New Roman" w:cs="Times New Roman"/>
                      <w:color w:val="auto"/>
                      <w:sz w:val="21"/>
                      <w:szCs w:val="21"/>
                    </w:rPr>
                    <w:t>1、“</w:t>
                  </w:r>
                  <w:r>
                    <w:rPr>
                      <w:rFonts w:ascii="Times New Roman" w:hAnsi="Times New Roman" w:cs="Times New Roman" w:eastAsiaTheme="minorEastAsia"/>
                      <w:color w:val="auto"/>
                      <w:sz w:val="21"/>
                      <w:szCs w:val="21"/>
                    </w:rPr>
                    <w:t>*</w:t>
                  </w:r>
                  <w:r>
                    <w:rPr>
                      <w:rFonts w:hint="eastAsia" w:ascii="Times New Roman" w:hAnsi="Times New Roman" w:cs="Times New Roman"/>
                      <w:color w:val="auto"/>
                      <w:sz w:val="21"/>
                      <w:szCs w:val="21"/>
                    </w:rPr>
                    <w:t>”</w:t>
                  </w:r>
                  <w:r>
                    <w:rPr>
                      <w:rFonts w:ascii="Times New Roman" w:hAnsi="Times New Roman" w:cs="Times New Roman"/>
                      <w:color w:val="auto"/>
                      <w:sz w:val="21"/>
                      <w:szCs w:val="21"/>
                    </w:rPr>
                    <w:t>表示该项目为分包项，未在资质认定范围内；</w:t>
                  </w:r>
                </w:p>
                <w:p>
                  <w:pPr>
                    <w:pStyle w:val="2"/>
                    <w:jc w:val="both"/>
                    <w:rPr>
                      <w:rFonts w:ascii="Times New Roman" w:hAnsi="Times New Roman" w:cs="Times New Roman"/>
                      <w:sz w:val="21"/>
                      <w:szCs w:val="21"/>
                    </w:rPr>
                  </w:pPr>
                  <w:r>
                    <w:rPr>
                      <w:rFonts w:ascii="Times New Roman" w:hAnsi="Times New Roman" w:cs="Times New Roman"/>
                      <w:color w:val="auto"/>
                      <w:sz w:val="21"/>
                      <w:szCs w:val="21"/>
                    </w:rPr>
                    <w:t>2、</w:t>
                  </w:r>
                  <w:r>
                    <w:rPr>
                      <w:rFonts w:hint="eastAsia" w:ascii="Times New Roman" w:hAnsi="Times New Roman" w:cs="Times New Roman"/>
                      <w:color w:val="auto"/>
                      <w:sz w:val="21"/>
                      <w:szCs w:val="21"/>
                    </w:rPr>
                    <w:t>臭气浓度</w:t>
                  </w:r>
                  <w:r>
                    <w:rPr>
                      <w:rFonts w:hint="eastAsia" w:cs="Times New Roman"/>
                      <w:color w:val="auto"/>
                      <w:sz w:val="21"/>
                      <w:szCs w:val="21"/>
                    </w:rPr>
                    <w:t>分包广东中润检测技术有限公司，证书编号：</w:t>
                  </w:r>
                  <w:r>
                    <w:rPr>
                      <w:rFonts w:ascii="Times New Roman" w:hAnsi="Times New Roman" w:cs="Times New Roman"/>
                      <w:color w:val="auto"/>
                      <w:sz w:val="21"/>
                      <w:szCs w:val="21"/>
                    </w:rPr>
                    <w:t>201819120842。</w:t>
                  </w:r>
                </w:p>
              </w:tc>
            </w:tr>
          </w:tbl>
          <w:p>
            <w:pPr>
              <w:widowControl/>
              <w:ind w:firstLine="480" w:firstLineChars="200"/>
              <w:jc w:val="both"/>
              <w:rPr>
                <w:rFonts w:ascii="Times New Roman" w:hAnsi="Times New Roman" w:eastAsia="宋体"/>
                <w:color w:val="000000"/>
                <w:sz w:val="24"/>
                <w:szCs w:val="24"/>
              </w:rPr>
            </w:pPr>
          </w:p>
          <w:p>
            <w:pPr>
              <w:widowControl/>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1.3噪声监测分析方法</w:t>
            </w:r>
            <w:bookmarkEnd w:id="1"/>
            <w:r>
              <w:rPr>
                <w:rFonts w:hint="eastAsia" w:ascii="Times New Roman" w:hAnsi="Times New Roman" w:eastAsia="宋体"/>
                <w:color w:val="000000"/>
                <w:sz w:val="24"/>
                <w:szCs w:val="24"/>
              </w:rPr>
              <w:t>见表5-3。</w:t>
            </w:r>
          </w:p>
          <w:p>
            <w:pPr>
              <w:widowControl/>
              <w:spacing w:line="240" w:lineRule="exact"/>
              <w:jc w:val="center"/>
              <w:rPr>
                <w:rFonts w:ascii="Times New Roman" w:hAnsi="Times New Roman" w:eastAsia="宋体"/>
                <w:b/>
                <w:bCs/>
                <w:color w:val="000000"/>
                <w:sz w:val="24"/>
                <w:szCs w:val="24"/>
              </w:rPr>
            </w:pPr>
            <w:r>
              <w:rPr>
                <w:rFonts w:ascii="Times New Roman" w:hAnsi="Times New Roman" w:eastAsia="宋体"/>
                <w:b/>
                <w:bCs/>
                <w:color w:val="000000"/>
                <w:sz w:val="24"/>
                <w:szCs w:val="24"/>
              </w:rPr>
              <w:t>表5-</w:t>
            </w:r>
            <w:r>
              <w:rPr>
                <w:rFonts w:hint="eastAsia" w:ascii="Times New Roman" w:hAnsi="Times New Roman" w:eastAsia="宋体"/>
                <w:b/>
                <w:bCs/>
                <w:color w:val="000000"/>
                <w:sz w:val="24"/>
                <w:szCs w:val="24"/>
              </w:rPr>
              <w:t>3</w:t>
            </w:r>
            <w:r>
              <w:rPr>
                <w:rFonts w:ascii="Times New Roman" w:hAnsi="Times New Roman" w:eastAsia="宋体"/>
                <w:b/>
                <w:bCs/>
                <w:color w:val="000000"/>
                <w:sz w:val="24"/>
                <w:szCs w:val="24"/>
              </w:rPr>
              <w:t xml:space="preserve"> 噪声监测分析方法</w:t>
            </w:r>
          </w:p>
          <w:tbl>
            <w:tblPr>
              <w:tblStyle w:val="12"/>
              <w:tblW w:w="9638"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38"/>
              <w:gridCol w:w="3506"/>
              <w:gridCol w:w="2420"/>
              <w:gridCol w:w="207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1638"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项目</w:t>
                  </w:r>
                </w:p>
              </w:tc>
              <w:tc>
                <w:tcPr>
                  <w:tcW w:w="3506"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监测分析方法</w:t>
                  </w:r>
                </w:p>
              </w:tc>
              <w:tc>
                <w:tcPr>
                  <w:tcW w:w="242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方法依据</w:t>
                  </w:r>
                </w:p>
              </w:tc>
              <w:tc>
                <w:tcPr>
                  <w:tcW w:w="207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检出限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5" w:hRule="atLeast"/>
              </w:trPr>
              <w:tc>
                <w:tcPr>
                  <w:tcW w:w="1638"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噪声</w:t>
                  </w:r>
                </w:p>
              </w:tc>
              <w:tc>
                <w:tcPr>
                  <w:tcW w:w="3506"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工业企业厂界环境噪声排放标准</w:t>
                  </w:r>
                </w:p>
              </w:tc>
              <w:tc>
                <w:tcPr>
                  <w:tcW w:w="242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GB12348-2008</w:t>
                  </w:r>
                </w:p>
              </w:tc>
              <w:tc>
                <w:tcPr>
                  <w:tcW w:w="2074"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b/>
                      <w:bCs/>
                      <w:sz w:val="21"/>
                      <w:szCs w:val="21"/>
                    </w:rPr>
                    <w:t>/</w:t>
                  </w:r>
                </w:p>
              </w:tc>
            </w:tr>
          </w:tbl>
          <w:p>
            <w:pPr>
              <w:widowControl/>
              <w:spacing w:line="280" w:lineRule="exact"/>
              <w:jc w:val="both"/>
              <w:rPr>
                <w:rFonts w:ascii="Times New Roman" w:hAnsi="Times New Roman" w:eastAsia="宋体"/>
                <w:color w:val="000000"/>
                <w:sz w:val="24"/>
                <w:szCs w:val="24"/>
              </w:rPr>
            </w:pPr>
          </w:p>
          <w:p>
            <w:pPr>
              <w:widowControl/>
              <w:ind w:firstLine="480" w:firstLineChars="200"/>
              <w:jc w:val="both"/>
              <w:rPr>
                <w:rFonts w:ascii="Times New Roman" w:hAnsi="Times New Roman"/>
                <w:b/>
                <w:bCs/>
                <w:color w:val="000000"/>
                <w:sz w:val="21"/>
                <w:szCs w:val="21"/>
              </w:rPr>
            </w:pPr>
            <w:r>
              <w:rPr>
                <w:rFonts w:hint="eastAsia" w:ascii="Times New Roman" w:hAnsi="Times New Roman" w:eastAsia="宋体"/>
                <w:color w:val="000000"/>
                <w:sz w:val="24"/>
                <w:szCs w:val="24"/>
              </w:rPr>
              <w:t>二、监测仪器见表5-4。</w:t>
            </w:r>
          </w:p>
          <w:p>
            <w:pPr>
              <w:pStyle w:val="2"/>
              <w:spacing w:line="360" w:lineRule="auto"/>
              <w:jc w:val="center"/>
              <w:rPr>
                <w:rFonts w:ascii="Times New Roman" w:hAnsi="Times New Roman" w:cs="Times New Roman"/>
                <w:b/>
                <w:bCs/>
              </w:rPr>
            </w:pPr>
            <w:r>
              <w:rPr>
                <w:rFonts w:hint="eastAsia" w:ascii="Times New Roman" w:hAnsi="Times New Roman" w:cs="Times New Roman"/>
                <w:b/>
                <w:bCs/>
              </w:rPr>
              <w:t>表5-4 监测仪器一览表</w:t>
            </w:r>
          </w:p>
          <w:tbl>
            <w:tblPr>
              <w:tblStyle w:val="13"/>
              <w:tblW w:w="9638" w:type="dxa"/>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1989"/>
              <w:gridCol w:w="2411"/>
              <w:gridCol w:w="2409"/>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tcBorders>
                    <w:top w:val="single" w:color="auto" w:sz="4" w:space="0"/>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仪器名称</w:t>
                  </w:r>
                </w:p>
              </w:tc>
              <w:tc>
                <w:tcPr>
                  <w:tcW w:w="1989" w:type="dxa"/>
                  <w:tcBorders>
                    <w:top w:val="single" w:color="auto" w:sz="4" w:space="0"/>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型号</w:t>
                  </w:r>
                </w:p>
              </w:tc>
              <w:tc>
                <w:tcPr>
                  <w:tcW w:w="2411" w:type="dxa"/>
                  <w:tcBorders>
                    <w:top w:val="single" w:color="auto" w:sz="4" w:space="0"/>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编号</w:t>
                  </w:r>
                </w:p>
              </w:tc>
              <w:tc>
                <w:tcPr>
                  <w:tcW w:w="2409" w:type="dxa"/>
                  <w:tcBorders>
                    <w:top w:val="single" w:color="auto" w:sz="4" w:space="0"/>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检定或校准情况</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vAlign w:val="center"/>
                </w:tcPr>
                <w:p>
                  <w:pPr>
                    <w:pStyle w:val="2"/>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pH计</w:t>
                  </w:r>
                </w:p>
              </w:tc>
              <w:tc>
                <w:tcPr>
                  <w:tcW w:w="198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pHSJ-3F</w:t>
                  </w:r>
                </w:p>
              </w:tc>
              <w:tc>
                <w:tcPr>
                  <w:tcW w:w="2411"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XLY005</w:t>
                  </w:r>
                </w:p>
              </w:tc>
              <w:tc>
                <w:tcPr>
                  <w:tcW w:w="240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已检定</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滴定管</w:t>
                  </w:r>
                </w:p>
              </w:tc>
              <w:tc>
                <w:tcPr>
                  <w:tcW w:w="1989" w:type="dxa"/>
                  <w:vAlign w:val="center"/>
                </w:tcPr>
                <w:p>
                  <w:pPr>
                    <w:pStyle w:val="2"/>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2411" w:type="dxa"/>
                  <w:vAlign w:val="center"/>
                </w:tcPr>
                <w:p>
                  <w:pPr>
                    <w:pStyle w:val="2"/>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240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已校准</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可见分光光度计</w:t>
                  </w:r>
                </w:p>
              </w:tc>
              <w:tc>
                <w:tcPr>
                  <w:tcW w:w="198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721N</w:t>
                  </w:r>
                </w:p>
              </w:tc>
              <w:tc>
                <w:tcPr>
                  <w:tcW w:w="2411"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XLY018</w:t>
                  </w:r>
                </w:p>
              </w:tc>
              <w:tc>
                <w:tcPr>
                  <w:tcW w:w="240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已检定</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vAlign w:val="center"/>
                </w:tcPr>
                <w:p>
                  <w:pPr>
                    <w:pStyle w:val="2"/>
                    <w:jc w:val="center"/>
                    <w:rPr>
                      <w:rFonts w:ascii="Times New Roman" w:hAnsi="Times New Roman" w:cs="Times New Roman"/>
                      <w:sz w:val="21"/>
                      <w:szCs w:val="21"/>
                    </w:rPr>
                  </w:pPr>
                  <w:r>
                    <w:rPr>
                      <w:rFonts w:ascii="Times New Roman" w:hAnsi="Times New Roman" w:cs="Times New Roman"/>
                      <w:color w:val="000000" w:themeColor="text1"/>
                      <w:sz w:val="21"/>
                      <w:szCs w:val="21"/>
                    </w:rPr>
                    <w:t>红外测油仪</w:t>
                  </w:r>
                </w:p>
              </w:tc>
              <w:tc>
                <w:tcPr>
                  <w:tcW w:w="198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OIL8-3</w:t>
                  </w:r>
                </w:p>
              </w:tc>
              <w:tc>
                <w:tcPr>
                  <w:tcW w:w="2411" w:type="dxa"/>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XLY026</w:t>
                  </w:r>
                </w:p>
              </w:tc>
              <w:tc>
                <w:tcPr>
                  <w:tcW w:w="240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已检定</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电热恒温培养箱</w:t>
                  </w:r>
                </w:p>
              </w:tc>
              <w:tc>
                <w:tcPr>
                  <w:tcW w:w="198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DH500A</w:t>
                  </w:r>
                </w:p>
              </w:tc>
              <w:tc>
                <w:tcPr>
                  <w:tcW w:w="2411"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XLY023-1</w:t>
                  </w:r>
                </w:p>
              </w:tc>
              <w:tc>
                <w:tcPr>
                  <w:tcW w:w="240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已校准</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多功能声级计</w:t>
                  </w:r>
                </w:p>
              </w:tc>
              <w:tc>
                <w:tcPr>
                  <w:tcW w:w="198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AWA5688</w:t>
                  </w:r>
                </w:p>
              </w:tc>
              <w:tc>
                <w:tcPr>
                  <w:tcW w:w="2411" w:type="dxa"/>
                  <w:vAlign w:val="center"/>
                </w:tcPr>
                <w:p>
                  <w:pPr>
                    <w:pStyle w:val="2"/>
                    <w:jc w:val="center"/>
                    <w:rPr>
                      <w:rFonts w:ascii="Times New Roman" w:hAnsi="Times New Roman" w:cs="Times New Roman"/>
                      <w:sz w:val="21"/>
                      <w:szCs w:val="21"/>
                    </w:rPr>
                  </w:pPr>
                  <w:r>
                    <w:rPr>
                      <w:rFonts w:hint="eastAsia" w:ascii="Times New Roman" w:hAnsi="Times New Roman" w:cs="Times New Roman"/>
                      <w:color w:val="auto"/>
                      <w:sz w:val="21"/>
                      <w:szCs w:val="21"/>
                    </w:rPr>
                    <w:t>XLY003-1</w:t>
                  </w:r>
                </w:p>
              </w:tc>
              <w:tc>
                <w:tcPr>
                  <w:tcW w:w="2409"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已检定</w:t>
                  </w:r>
                </w:p>
              </w:tc>
            </w:tr>
          </w:tbl>
          <w:p>
            <w:pPr>
              <w:pStyle w:val="2"/>
              <w:jc w:val="both"/>
            </w:pPr>
          </w:p>
          <w:p>
            <w:pPr>
              <w:widowControl w:val="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三、人员资质</w:t>
            </w:r>
          </w:p>
          <w:p>
            <w:pPr>
              <w:widowControl w:val="0"/>
              <w:spacing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我公司现有职工</w:t>
            </w:r>
            <w:r>
              <w:rPr>
                <w:rFonts w:hint="eastAsia" w:ascii="Times New Roman" w:hAnsi="Times New Roman" w:eastAsia="宋体"/>
                <w:color w:val="000000"/>
                <w:sz w:val="24"/>
                <w:szCs w:val="24"/>
              </w:rPr>
              <w:t>30多</w:t>
            </w:r>
            <w:r>
              <w:rPr>
                <w:rFonts w:ascii="Times New Roman" w:hAnsi="Times New Roman" w:eastAsia="宋体"/>
                <w:color w:val="000000"/>
                <w:sz w:val="24"/>
                <w:szCs w:val="24"/>
              </w:rPr>
              <w:t>人，其中专业从事检验检测工作的人员</w:t>
            </w:r>
            <w:r>
              <w:rPr>
                <w:rFonts w:hint="eastAsia" w:ascii="Times New Roman" w:hAnsi="Times New Roman" w:eastAsia="宋体"/>
                <w:color w:val="000000"/>
                <w:sz w:val="24"/>
                <w:szCs w:val="24"/>
              </w:rPr>
              <w:t>23</w:t>
            </w:r>
            <w:r>
              <w:rPr>
                <w:rFonts w:ascii="Times New Roman" w:hAnsi="Times New Roman" w:eastAsia="宋体"/>
                <w:color w:val="000000"/>
                <w:sz w:val="24"/>
                <w:szCs w:val="24"/>
              </w:rPr>
              <w:t>人，经过严格培训考核，持证上岗，具备专业检验检测技能；</w:t>
            </w:r>
            <w:r>
              <w:rPr>
                <w:rFonts w:hint="eastAsia" w:ascii="Times New Roman" w:hAnsi="Times New Roman" w:eastAsia="宋体"/>
                <w:color w:val="000000"/>
                <w:sz w:val="24"/>
                <w:szCs w:val="24"/>
              </w:rPr>
              <w:t>全部人员均由内部考核，考核通过后，颁发内部上岗证，人员定期不定期参加内部及外部培训，定期组织开展人员比对等质量活动，确保人员能力持续满足岗位需求</w:t>
            </w:r>
            <w:r>
              <w:rPr>
                <w:rFonts w:ascii="Times New Roman" w:hAnsi="Times New Roman" w:eastAsia="宋体"/>
                <w:color w:val="000000"/>
                <w:sz w:val="24"/>
                <w:szCs w:val="24"/>
              </w:rPr>
              <w:t>。</w:t>
            </w:r>
          </w:p>
          <w:p>
            <w:pPr>
              <w:widowControl w:val="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四、水质监测分析过程中的质量保证和质量控制</w:t>
            </w:r>
          </w:p>
          <w:p>
            <w:pPr>
              <w:widowControl w:val="0"/>
              <w:spacing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水样的采集、运输、保存、实验室分析和数据计算的全过程均按照《环境水质监测质量保证手册》（第四版）的要求进行。即做到：所有监测人员持上岗证，监测仪器设备经计量检定合格并在有效期内。采样时每个环节设专人负责</w:t>
            </w:r>
            <w:r>
              <w:rPr>
                <w:rFonts w:hint="eastAsia" w:ascii="Times New Roman" w:hAnsi="Times New Roman" w:eastAsia="宋体"/>
                <w:color w:val="000000"/>
                <w:sz w:val="24"/>
                <w:szCs w:val="24"/>
              </w:rPr>
              <w:t>，</w:t>
            </w:r>
            <w:r>
              <w:rPr>
                <w:rFonts w:ascii="Times New Roman" w:hAnsi="Times New Roman" w:eastAsia="宋体"/>
                <w:color w:val="000000"/>
                <w:sz w:val="24"/>
                <w:szCs w:val="24"/>
              </w:rPr>
              <w:t>各点各项测试时，加标10%以上平行样， 并且主要指标加测质控样来控制样品的准确度，且尽量现场分析，监测数据按照规定进行处理，并经过三级审核。</w:t>
            </w:r>
          </w:p>
          <w:p>
            <w:pPr>
              <w:widowControl w:val="0"/>
              <w:ind w:firstLine="480" w:firstLineChars="200"/>
              <w:jc w:val="both"/>
              <w:rPr>
                <w:rFonts w:ascii="Times New Roman" w:hAnsi="Times New Roman" w:eastAsia="宋体"/>
                <w:color w:val="000000"/>
                <w:sz w:val="24"/>
                <w:szCs w:val="24"/>
              </w:rPr>
            </w:pPr>
            <w:r>
              <w:rPr>
                <w:rFonts w:hint="eastAsia" w:asciiTheme="minorEastAsia" w:hAnsiTheme="minorEastAsia" w:eastAsiaTheme="minorEastAsia" w:cstheme="minorEastAsia"/>
                <w:color w:val="000000"/>
                <w:sz w:val="24"/>
                <w:szCs w:val="24"/>
              </w:rPr>
              <w:t>五、</w:t>
            </w:r>
            <w:r>
              <w:rPr>
                <w:rFonts w:ascii="Times New Roman" w:hAnsi="Times New Roman" w:eastAsia="宋体"/>
                <w:color w:val="000000"/>
                <w:sz w:val="24"/>
                <w:szCs w:val="24"/>
              </w:rPr>
              <w:t>气</w:t>
            </w:r>
            <w:r>
              <w:rPr>
                <w:rFonts w:hint="eastAsia" w:ascii="Times New Roman" w:hAnsi="Times New Roman" w:eastAsia="宋体"/>
                <w:color w:val="000000"/>
                <w:sz w:val="24"/>
                <w:szCs w:val="24"/>
              </w:rPr>
              <w:t>体</w:t>
            </w:r>
            <w:r>
              <w:rPr>
                <w:rFonts w:ascii="Times New Roman" w:hAnsi="Times New Roman" w:eastAsia="宋体"/>
                <w:color w:val="000000"/>
                <w:sz w:val="24"/>
                <w:szCs w:val="24"/>
              </w:rPr>
              <w:t>监测分析过程中的质量保证和质量控制</w:t>
            </w:r>
          </w:p>
          <w:p>
            <w:pPr>
              <w:widowControl w:val="0"/>
              <w:spacing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废气监测</w:t>
            </w:r>
            <w:r>
              <w:rPr>
                <w:rFonts w:hint="eastAsia" w:ascii="Times New Roman" w:hAnsi="Times New Roman" w:eastAsia="宋体"/>
                <w:color w:val="000000"/>
                <w:sz w:val="24"/>
                <w:szCs w:val="24"/>
              </w:rPr>
              <w:t>按照</w:t>
            </w:r>
            <w:r>
              <w:rPr>
                <w:rFonts w:ascii="Times New Roman" w:hAnsi="Times New Roman" w:eastAsia="宋体"/>
                <w:color w:val="000000"/>
                <w:sz w:val="24"/>
                <w:szCs w:val="24"/>
              </w:rPr>
              <w:t>国标中规定的方法进行</w:t>
            </w:r>
            <w:r>
              <w:rPr>
                <w:rFonts w:hint="eastAsia" w:ascii="Times New Roman" w:hAnsi="Times New Roman" w:eastAsia="宋体"/>
                <w:color w:val="000000"/>
                <w:sz w:val="24"/>
                <w:szCs w:val="24"/>
              </w:rPr>
              <w:t>，</w:t>
            </w:r>
            <w:r>
              <w:rPr>
                <w:rFonts w:ascii="Times New Roman" w:hAnsi="Times New Roman" w:eastAsia="宋体"/>
                <w:color w:val="000000"/>
                <w:sz w:val="24"/>
                <w:szCs w:val="24"/>
              </w:rPr>
              <w:t>参加环保设施竣工验收监测采样和测试人员持证上岗， 采样仪器在监测前进行有效检定，按照规范要求设置断面及点位的个数</w:t>
            </w:r>
            <w:r>
              <w:rPr>
                <w:rFonts w:hint="eastAsia" w:ascii="Times New Roman" w:hAnsi="Times New Roman" w:eastAsia="宋体"/>
                <w:color w:val="000000"/>
                <w:sz w:val="24"/>
                <w:szCs w:val="24"/>
              </w:rPr>
              <w:t>，</w:t>
            </w:r>
            <w:r>
              <w:rPr>
                <w:rFonts w:ascii="Times New Roman" w:hAnsi="Times New Roman" w:eastAsia="宋体"/>
                <w:color w:val="000000"/>
                <w:sz w:val="24"/>
                <w:szCs w:val="24"/>
              </w:rPr>
              <w:t>一次监测至少三个平行样。尽量避免被测排放物中共存污染物因子对仪器分析的交叉干扰；被测排放物浓度应在仪器测试量程的有效范围即仪器量程的30%</w:t>
            </w:r>
            <w:r>
              <w:rPr>
                <w:rFonts w:hint="eastAsia" w:ascii="Times New Roman" w:hAnsi="Times New Roman" w:eastAsia="宋体"/>
                <w:color w:val="000000"/>
                <w:sz w:val="24"/>
                <w:szCs w:val="24"/>
              </w:rPr>
              <w:t>～</w:t>
            </w:r>
            <w:r>
              <w:rPr>
                <w:rFonts w:ascii="Times New Roman" w:hAnsi="Times New Roman" w:eastAsia="宋体"/>
                <w:color w:val="000000"/>
                <w:sz w:val="24"/>
                <w:szCs w:val="24"/>
              </w:rPr>
              <w:t>70%之间。</w:t>
            </w:r>
          </w:p>
          <w:p>
            <w:pPr>
              <w:widowControl w:val="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六、</w:t>
            </w:r>
            <w:r>
              <w:rPr>
                <w:rFonts w:ascii="Times New Roman" w:hAnsi="Times New Roman" w:eastAsia="宋体"/>
                <w:color w:val="000000"/>
                <w:sz w:val="24"/>
                <w:szCs w:val="24"/>
              </w:rPr>
              <w:t>噪声监测分析过程中的质量保证和质量控制</w:t>
            </w:r>
          </w:p>
          <w:p>
            <w:pPr>
              <w:pStyle w:val="2"/>
              <w:spacing w:line="360" w:lineRule="auto"/>
              <w:ind w:firstLine="480" w:firstLineChars="200"/>
              <w:jc w:val="both"/>
            </w:pPr>
            <w:r>
              <w:rPr>
                <w:rFonts w:ascii="Times New Roman" w:hAnsi="Times New Roman" w:cs="Times New Roman"/>
              </w:rPr>
              <w:t>噪声监测按照《</w:t>
            </w:r>
            <w:r>
              <w:rPr>
                <w:rFonts w:hint="eastAsia" w:ascii="Times New Roman" w:hAnsi="Times New Roman" w:cs="Times New Roman"/>
              </w:rPr>
              <w:t>工业企业厂界环境噪声排放标准</w:t>
            </w:r>
            <w:r>
              <w:rPr>
                <w:rFonts w:ascii="Times New Roman" w:hAnsi="Times New Roman" w:cs="Times New Roman"/>
              </w:rPr>
              <w:t>》（GB</w:t>
            </w:r>
            <w:r>
              <w:rPr>
                <w:rFonts w:hint="eastAsia" w:ascii="Times New Roman" w:hAnsi="Times New Roman" w:cs="Times New Roman"/>
              </w:rPr>
              <w:t>12348</w:t>
            </w:r>
            <w:r>
              <w:rPr>
                <w:rFonts w:ascii="Times New Roman" w:hAnsi="Times New Roman" w:cs="Times New Roman"/>
              </w:rPr>
              <w:t>-2008）中规定的要求进行。 监测时使用经计量部门检定，并在有效期内的声级计，声级计在测试前后用标准发生源进行校准，测量前后仪器的灵敏度相差不大于0.5dB</w:t>
            </w:r>
            <w:r>
              <w:rPr>
                <w:rFonts w:hint="eastAsia" w:ascii="Times New Roman" w:hAnsi="Times New Roman" w:cs="Times New Roman"/>
              </w:rPr>
              <w:t>，</w:t>
            </w:r>
            <w:r>
              <w:rPr>
                <w:rFonts w:ascii="Times New Roman" w:hAnsi="Times New Roman" w:cs="Times New Roman"/>
              </w:rPr>
              <w:t>若大于0.5dB测试数据无效。</w:t>
            </w:r>
          </w:p>
        </w:tc>
      </w:tr>
    </w:tbl>
    <w:p>
      <w:pPr>
        <w:spacing w:line="360" w:lineRule="auto"/>
        <w:rPr>
          <w:rFonts w:hint="eastAsia" w:eastAsia="仿宋_GB2312"/>
          <w:b/>
          <w:color w:val="000000"/>
          <w:sz w:val="32"/>
          <w:szCs w:val="32"/>
        </w:rPr>
      </w:pPr>
    </w:p>
    <w:p>
      <w:pPr>
        <w:spacing w:line="360" w:lineRule="auto"/>
        <w:rPr>
          <w:rFonts w:eastAsia="仿宋_GB2312"/>
          <w:b/>
          <w:color w:val="000000"/>
          <w:sz w:val="32"/>
          <w:szCs w:val="32"/>
        </w:rPr>
      </w:pPr>
      <w:r>
        <w:rPr>
          <w:rFonts w:eastAsia="仿宋_GB2312"/>
          <w:b/>
          <w:color w:val="000000"/>
          <w:sz w:val="32"/>
          <w:szCs w:val="32"/>
        </w:rPr>
        <w:t>表</w:t>
      </w:r>
      <w:r>
        <w:rPr>
          <w:rFonts w:hint="eastAsia" w:eastAsia="仿宋_GB2312"/>
          <w:b/>
          <w:color w:val="000000"/>
          <w:sz w:val="32"/>
          <w:szCs w:val="32"/>
        </w:rPr>
        <w:t>六</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3" w:hRule="atLeast"/>
        </w:trPr>
        <w:tc>
          <w:tcPr>
            <w:tcW w:w="9854" w:type="dxa"/>
            <w:tcBorders>
              <w:right w:val="nil"/>
            </w:tcBorders>
          </w:tcPr>
          <w:p>
            <w:pPr>
              <w:widowControl w:val="0"/>
              <w:spacing w:beforeLines="20"/>
              <w:jc w:val="both"/>
              <w:rPr>
                <w:rFonts w:ascii="Times New Roman" w:hAnsi="Times New Roman" w:eastAsia="宋体"/>
                <w:b/>
                <w:bCs/>
                <w:color w:val="000000"/>
                <w:sz w:val="28"/>
                <w:szCs w:val="28"/>
              </w:rPr>
            </w:pPr>
            <w:r>
              <w:rPr>
                <w:rFonts w:hint="eastAsia" w:ascii="Times New Roman" w:hAnsi="Times New Roman" w:eastAsia="宋体"/>
                <w:b/>
                <w:bCs/>
                <w:color w:val="000000"/>
                <w:sz w:val="28"/>
                <w:szCs w:val="28"/>
              </w:rPr>
              <w:t>验收监测内容：</w:t>
            </w:r>
          </w:p>
          <w:p>
            <w:pPr>
              <w:widowControl w:val="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一、废水</w:t>
            </w:r>
          </w:p>
          <w:p>
            <w:pPr>
              <w:widowControl w:val="0"/>
              <w:spacing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本项目废水设置1个监测点，废水监测内容见表6-1，监测点位布置见图6-1。</w:t>
            </w:r>
          </w:p>
          <w:p>
            <w:pPr>
              <w:widowControl/>
              <w:spacing w:line="360" w:lineRule="auto"/>
              <w:jc w:val="center"/>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表6-1  废水监测内容</w:t>
            </w:r>
          </w:p>
          <w:tbl>
            <w:tblPr>
              <w:tblStyle w:val="12"/>
              <w:tblW w:w="96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757"/>
              <w:gridCol w:w="4020"/>
              <w:gridCol w:w="2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80"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监测类别</w:t>
                  </w:r>
                </w:p>
              </w:tc>
              <w:tc>
                <w:tcPr>
                  <w:tcW w:w="1757"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监测点位</w:t>
                  </w:r>
                </w:p>
              </w:tc>
              <w:tc>
                <w:tcPr>
                  <w:tcW w:w="4020"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381" w:type="dxa"/>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480" w:type="dxa"/>
                  <w:tcBorders>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废水</w:t>
                  </w:r>
                </w:p>
              </w:tc>
              <w:tc>
                <w:tcPr>
                  <w:tcW w:w="1757" w:type="dxa"/>
                  <w:tcBorders>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污水处理站排口</w:t>
                  </w:r>
                </w:p>
              </w:tc>
              <w:tc>
                <w:tcPr>
                  <w:tcW w:w="4020" w:type="dxa"/>
                  <w:tcBorders>
                    <w:bottom w:val="single" w:color="auto" w:sz="4" w:space="0"/>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pH</w:t>
                  </w:r>
                  <w:r>
                    <w:rPr>
                      <w:rFonts w:hint="eastAsia" w:ascii="Times New Roman" w:hAnsi="Times New Roman" w:cs="Times New Roman"/>
                      <w:sz w:val="21"/>
                      <w:szCs w:val="21"/>
                    </w:rPr>
                    <w:t>、COD</w:t>
                  </w:r>
                  <w:r>
                    <w:rPr>
                      <w:rFonts w:hint="eastAsia" w:ascii="Times New Roman" w:hAnsi="Times New Roman" w:cs="Times New Roman"/>
                      <w:sz w:val="21"/>
                      <w:szCs w:val="21"/>
                      <w:vertAlign w:val="subscript"/>
                    </w:rPr>
                    <w:t>cr</w:t>
                  </w:r>
                  <w:r>
                    <w:rPr>
                      <w:rFonts w:hint="eastAsia" w:ascii="Times New Roman" w:hAnsi="Times New Roman" w:cs="Times New Roman"/>
                      <w:sz w:val="21"/>
                      <w:szCs w:val="21"/>
                    </w:rPr>
                    <w:t>、BOD</w:t>
                  </w:r>
                  <w:r>
                    <w:rPr>
                      <w:rFonts w:hint="eastAsia" w:ascii="Times New Roman" w:hAnsi="Times New Roman" w:cs="Times New Roman"/>
                      <w:sz w:val="21"/>
                      <w:szCs w:val="21"/>
                      <w:vertAlign w:val="subscript"/>
                    </w:rPr>
                    <w:t>5</w:t>
                  </w:r>
                  <w:r>
                    <w:rPr>
                      <w:rFonts w:hint="eastAsia" w:ascii="Times New Roman" w:hAnsi="Times New Roman" w:cs="Times New Roman"/>
                      <w:sz w:val="21"/>
                      <w:szCs w:val="21"/>
                    </w:rPr>
                    <w:t>、氨氮、动植物油、</w:t>
                  </w:r>
                </w:p>
                <w:p>
                  <w:pPr>
                    <w:pStyle w:val="2"/>
                    <w:jc w:val="center"/>
                    <w:rPr>
                      <w:rFonts w:ascii="Times New Roman" w:hAnsi="Times New Roman" w:cs="Times New Roman"/>
                      <w:sz w:val="21"/>
                      <w:szCs w:val="21"/>
                    </w:rPr>
                  </w:pPr>
                  <w:r>
                    <w:rPr>
                      <w:rFonts w:hint="eastAsia" w:ascii="Times New Roman" w:hAnsi="Times New Roman" w:cs="Times New Roman"/>
                      <w:sz w:val="21"/>
                      <w:szCs w:val="21"/>
                    </w:rPr>
                    <w:t>粪大肠菌群</w:t>
                  </w:r>
                </w:p>
              </w:tc>
              <w:tc>
                <w:tcPr>
                  <w:tcW w:w="2381" w:type="dxa"/>
                  <w:tcBorders>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连续监测2天，每天3次</w:t>
                  </w:r>
                </w:p>
              </w:tc>
            </w:tr>
          </w:tbl>
          <w:p>
            <w:pPr>
              <w:pStyle w:val="2"/>
              <w:jc w:val="both"/>
              <w:rPr>
                <w:rFonts w:ascii="Times New Roman" w:hAnsi="Times New Roman" w:cs="Times New Roman"/>
              </w:rPr>
            </w:pPr>
          </w:p>
          <w:p>
            <w:pPr>
              <w:pStyle w:val="2"/>
              <w:jc w:val="both"/>
              <w:rPr>
                <w:rFonts w:ascii="Times New Roman" w:hAnsi="Times New Roman" w:cs="Times New Roman"/>
              </w:rPr>
            </w:pPr>
            <w:r>
              <w:drawing>
                <wp:anchor distT="0" distB="0" distL="114935" distR="114935" simplePos="0" relativeHeight="251660288" behindDoc="1" locked="0" layoutInCell="1" allowOverlap="1">
                  <wp:simplePos x="0" y="0"/>
                  <wp:positionH relativeFrom="column">
                    <wp:posOffset>0</wp:posOffset>
                  </wp:positionH>
                  <wp:positionV relativeFrom="paragraph">
                    <wp:posOffset>34925</wp:posOffset>
                  </wp:positionV>
                  <wp:extent cx="6117590" cy="3893185"/>
                  <wp:effectExtent l="0" t="0" r="16510" b="1206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6117590" cy="3893185"/>
                          </a:xfrm>
                          <a:prstGeom prst="rect">
                            <a:avLst/>
                          </a:prstGeom>
                          <a:noFill/>
                          <a:ln>
                            <a:noFill/>
                          </a:ln>
                        </pic:spPr>
                      </pic:pic>
                    </a:graphicData>
                  </a:graphic>
                </wp:anchor>
              </w:drawing>
            </w: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both"/>
              <w:rPr>
                <w:rFonts w:ascii="Times New Roman" w:hAnsi="Times New Roman" w:cs="Times New Roman"/>
              </w:rPr>
            </w:pPr>
          </w:p>
          <w:p>
            <w:pPr>
              <w:pStyle w:val="2"/>
              <w:jc w:val="center"/>
              <w:rPr>
                <w:rFonts w:ascii="Times New Roman" w:hAnsi="Times New Roman" w:cs="Times New Roman"/>
                <w:b/>
                <w:bCs/>
                <w:sz w:val="21"/>
                <w:szCs w:val="21"/>
              </w:rPr>
            </w:pPr>
          </w:p>
          <w:p>
            <w:pPr>
              <w:pStyle w:val="2"/>
              <w:jc w:val="center"/>
              <w:rPr>
                <w:rFonts w:ascii="Times New Roman" w:hAnsi="Times New Roman" w:cs="Times New Roman"/>
                <w:b/>
                <w:bCs/>
                <w:sz w:val="21"/>
                <w:szCs w:val="21"/>
              </w:rPr>
            </w:pPr>
          </w:p>
          <w:p>
            <w:pPr>
              <w:pStyle w:val="2"/>
              <w:jc w:val="center"/>
              <w:rPr>
                <w:rFonts w:ascii="Times New Roman" w:hAnsi="Times New Roman" w:cs="Times New Roman"/>
                <w:b/>
                <w:bCs/>
                <w:sz w:val="21"/>
                <w:szCs w:val="21"/>
              </w:rPr>
            </w:pPr>
          </w:p>
          <w:p>
            <w:pPr>
              <w:pStyle w:val="2"/>
              <w:jc w:val="center"/>
              <w:rPr>
                <w:rFonts w:ascii="Times New Roman" w:hAnsi="Times New Roman" w:cs="Times New Roman"/>
                <w:b/>
                <w:bCs/>
                <w:sz w:val="21"/>
                <w:szCs w:val="21"/>
              </w:rPr>
            </w:pPr>
          </w:p>
          <w:p>
            <w:pPr>
              <w:pStyle w:val="2"/>
              <w:jc w:val="center"/>
              <w:rPr>
                <w:rFonts w:ascii="Times New Roman" w:hAnsi="Times New Roman" w:cs="Times New Roman"/>
                <w:b/>
                <w:bCs/>
                <w:sz w:val="21"/>
                <w:szCs w:val="21"/>
              </w:rPr>
            </w:pPr>
          </w:p>
          <w:p>
            <w:pPr>
              <w:pStyle w:val="2"/>
              <w:jc w:val="center"/>
              <w:rPr>
                <w:rFonts w:ascii="Times New Roman" w:hAnsi="Times New Roman" w:cs="Times New Roman"/>
                <w:b/>
                <w:bCs/>
                <w:sz w:val="21"/>
                <w:szCs w:val="21"/>
              </w:rPr>
            </w:pPr>
          </w:p>
          <w:p>
            <w:pPr>
              <w:pStyle w:val="2"/>
              <w:jc w:val="center"/>
              <w:rPr>
                <w:rFonts w:ascii="Times New Roman" w:hAnsi="Times New Roman" w:cs="Times New Roman"/>
                <w:b/>
                <w:bCs/>
                <w:sz w:val="21"/>
                <w:szCs w:val="21"/>
              </w:rPr>
            </w:pPr>
          </w:p>
          <w:p>
            <w:pPr>
              <w:pStyle w:val="2"/>
              <w:jc w:val="both"/>
              <w:rPr>
                <w:rFonts w:ascii="Times New Roman" w:hAnsi="Times New Roman" w:cs="Times New Roman"/>
                <w:b/>
                <w:bCs/>
                <w:sz w:val="21"/>
                <w:szCs w:val="21"/>
              </w:rPr>
            </w:pPr>
          </w:p>
          <w:p>
            <w:pPr>
              <w:pStyle w:val="2"/>
              <w:jc w:val="both"/>
              <w:rPr>
                <w:rFonts w:ascii="Times New Roman" w:hAnsi="Times New Roman" w:cs="Times New Roman"/>
                <w:b/>
                <w:bCs/>
                <w:color w:val="FF0000"/>
                <w:sz w:val="21"/>
                <w:szCs w:val="21"/>
              </w:rPr>
            </w:pPr>
          </w:p>
          <w:p>
            <w:pPr>
              <w:pStyle w:val="2"/>
              <w:jc w:val="center"/>
              <w:rPr>
                <w:rFonts w:ascii="Times New Roman" w:hAnsi="Times New Roman" w:cs="Times New Roman"/>
                <w:b/>
                <w:bCs/>
                <w:color w:val="000000" w:themeColor="text1"/>
                <w:sz w:val="21"/>
                <w:szCs w:val="21"/>
              </w:rPr>
            </w:pPr>
          </w:p>
          <w:p>
            <w:pPr>
              <w:pStyle w:val="2"/>
              <w:jc w:val="center"/>
              <w:rPr>
                <w:rFonts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图6-1 监测点位布置图</w:t>
            </w:r>
          </w:p>
          <w:p>
            <w:pPr>
              <w:pStyle w:val="2"/>
              <w:jc w:val="center"/>
              <w:rPr>
                <w:rFonts w:ascii="Times New Roman" w:hAnsi="Times New Roman" w:cs="Times New Roman"/>
                <w:b/>
                <w:bCs/>
                <w:sz w:val="21"/>
                <w:szCs w:val="21"/>
              </w:rPr>
            </w:pPr>
          </w:p>
          <w:p>
            <w:pPr>
              <w:widowControl w:val="0"/>
              <w:jc w:val="both"/>
              <w:rPr>
                <w:rFonts w:ascii="Times New Roman" w:hAnsi="Times New Roman" w:eastAsia="宋体"/>
                <w:color w:val="000000"/>
                <w:sz w:val="24"/>
                <w:szCs w:val="24"/>
              </w:rPr>
            </w:pPr>
          </w:p>
          <w:p>
            <w:pPr>
              <w:widowControl w:val="0"/>
              <w:ind w:firstLine="480" w:firstLineChars="200"/>
              <w:jc w:val="both"/>
              <w:rPr>
                <w:rFonts w:ascii="Times New Roman" w:hAnsi="Times New Roman" w:eastAsia="宋体"/>
                <w:color w:val="000000"/>
                <w:sz w:val="24"/>
                <w:szCs w:val="24"/>
              </w:rPr>
            </w:pPr>
          </w:p>
          <w:p>
            <w:pPr>
              <w:widowControl w:val="0"/>
              <w:ind w:firstLine="480" w:firstLineChars="200"/>
              <w:jc w:val="both"/>
              <w:rPr>
                <w:rFonts w:ascii="Times New Roman" w:hAnsi="Times New Roman" w:eastAsia="宋体"/>
                <w:color w:val="000000"/>
                <w:sz w:val="24"/>
                <w:szCs w:val="24"/>
              </w:rPr>
            </w:pPr>
          </w:p>
          <w:p>
            <w:pPr>
              <w:widowControl w:val="0"/>
              <w:ind w:firstLine="480" w:firstLineChars="200"/>
              <w:jc w:val="both"/>
              <w:rPr>
                <w:rFonts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hint="eastAsia" w:ascii="Times New Roman" w:hAnsi="Times New Roman" w:eastAsia="宋体"/>
                <w:color w:val="000000"/>
                <w:sz w:val="24"/>
                <w:szCs w:val="24"/>
              </w:rPr>
            </w:pPr>
          </w:p>
          <w:p>
            <w:pPr>
              <w:widowControl w:val="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二、废气</w:t>
            </w:r>
          </w:p>
          <w:p>
            <w:pPr>
              <w:widowControl w:val="0"/>
              <w:spacing w:line="360" w:lineRule="auto"/>
              <w:ind w:firstLine="480" w:firstLineChars="200"/>
              <w:jc w:val="both"/>
              <w:rPr>
                <w:rFonts w:ascii="Times New Roman" w:hAnsi="Times New Roman" w:eastAsia="宋体"/>
                <w:b/>
                <w:bCs/>
                <w:color w:val="000000"/>
                <w:sz w:val="24"/>
                <w:szCs w:val="24"/>
              </w:rPr>
            </w:pPr>
            <w:r>
              <w:rPr>
                <w:rFonts w:hint="eastAsia" w:ascii="Times New Roman" w:hAnsi="Times New Roman" w:eastAsiaTheme="minorEastAsia"/>
                <w:color w:val="000000"/>
                <w:sz w:val="24"/>
                <w:szCs w:val="24"/>
              </w:rPr>
              <w:t>本</w:t>
            </w:r>
            <w:r>
              <w:rPr>
                <w:rFonts w:hint="eastAsia" w:ascii="Times New Roman" w:hAnsi="Times New Roman" w:eastAsia="宋体"/>
                <w:color w:val="000000"/>
                <w:sz w:val="24"/>
                <w:szCs w:val="24"/>
              </w:rPr>
              <w:t>项目无组织废气</w:t>
            </w:r>
            <w:r>
              <w:rPr>
                <w:rFonts w:ascii="Times New Roman" w:hAnsi="Times New Roman" w:eastAsia="宋体"/>
                <w:color w:val="000000"/>
                <w:sz w:val="24"/>
                <w:szCs w:val="24"/>
              </w:rPr>
              <w:t>设置</w:t>
            </w:r>
            <w:r>
              <w:rPr>
                <w:rFonts w:hint="eastAsia" w:ascii="Times New Roman" w:hAnsi="Times New Roman" w:eastAsia="宋体"/>
                <w:color w:val="000000"/>
                <w:sz w:val="24"/>
                <w:szCs w:val="24"/>
              </w:rPr>
              <w:t>2</w:t>
            </w:r>
            <w:r>
              <w:rPr>
                <w:rFonts w:ascii="Times New Roman" w:hAnsi="Times New Roman" w:eastAsia="宋体"/>
                <w:color w:val="000000"/>
                <w:sz w:val="24"/>
                <w:szCs w:val="24"/>
              </w:rPr>
              <w:t>个监测点</w:t>
            </w:r>
            <w:r>
              <w:rPr>
                <w:rFonts w:hint="eastAsia" w:ascii="Times New Roman" w:hAnsi="Times New Roman" w:eastAsia="宋体"/>
                <w:color w:val="000000"/>
                <w:sz w:val="24"/>
                <w:szCs w:val="24"/>
              </w:rPr>
              <w:t>，</w:t>
            </w:r>
            <w:r>
              <w:rPr>
                <w:rFonts w:ascii="Times New Roman" w:hAnsi="Times New Roman" w:eastAsia="宋体"/>
                <w:color w:val="000000"/>
                <w:sz w:val="24"/>
                <w:szCs w:val="24"/>
              </w:rPr>
              <w:t>监测内容见表</w:t>
            </w:r>
            <w:r>
              <w:rPr>
                <w:rFonts w:hint="eastAsia" w:ascii="Times New Roman" w:hAnsi="Times New Roman" w:eastAsia="宋体"/>
                <w:color w:val="000000"/>
                <w:sz w:val="24"/>
                <w:szCs w:val="24"/>
              </w:rPr>
              <w:t>6</w:t>
            </w:r>
            <w:r>
              <w:rPr>
                <w:rFonts w:ascii="Times New Roman" w:hAnsi="Times New Roman" w:eastAsia="宋体"/>
                <w:color w:val="000000"/>
                <w:sz w:val="24"/>
                <w:szCs w:val="24"/>
              </w:rPr>
              <w:t>-</w:t>
            </w:r>
            <w:r>
              <w:rPr>
                <w:rFonts w:hint="eastAsia" w:ascii="Times New Roman" w:hAnsi="Times New Roman" w:eastAsia="宋体"/>
                <w:color w:val="000000"/>
                <w:sz w:val="24"/>
                <w:szCs w:val="24"/>
              </w:rPr>
              <w:t>2。</w:t>
            </w:r>
            <w:r>
              <w:rPr>
                <w:rFonts w:ascii="Times New Roman" w:hAnsi="Times New Roman" w:eastAsia="宋体"/>
                <w:color w:val="000000"/>
                <w:sz w:val="24"/>
                <w:szCs w:val="24"/>
              </w:rPr>
              <w:t>监测点位布置见图</w:t>
            </w:r>
            <w:r>
              <w:rPr>
                <w:rFonts w:hint="eastAsia" w:ascii="Times New Roman" w:hAnsi="Times New Roman" w:eastAsia="宋体"/>
                <w:color w:val="000000"/>
                <w:sz w:val="24"/>
                <w:szCs w:val="24"/>
              </w:rPr>
              <w:t>6</w:t>
            </w:r>
            <w:r>
              <w:rPr>
                <w:rFonts w:ascii="Times New Roman" w:hAnsi="Times New Roman" w:eastAsia="宋体"/>
                <w:color w:val="000000"/>
                <w:sz w:val="24"/>
                <w:szCs w:val="24"/>
              </w:rPr>
              <w:t>-1。</w:t>
            </w:r>
          </w:p>
          <w:p>
            <w:pPr>
              <w:widowControl/>
              <w:spacing w:line="360" w:lineRule="auto"/>
              <w:jc w:val="center"/>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表6-2  废气监测内容</w:t>
            </w:r>
          </w:p>
          <w:tbl>
            <w:tblPr>
              <w:tblStyle w:val="12"/>
              <w:tblW w:w="96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2372"/>
              <w:gridCol w:w="3405"/>
              <w:gridCol w:w="23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80" w:type="dxa"/>
                  <w:tcBorders>
                    <w:left w:val="nil"/>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监测类别</w:t>
                  </w:r>
                </w:p>
              </w:tc>
              <w:tc>
                <w:tcPr>
                  <w:tcW w:w="2372" w:type="dxa"/>
                  <w:tcBorders>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监测点位</w:t>
                  </w:r>
                </w:p>
              </w:tc>
              <w:tc>
                <w:tcPr>
                  <w:tcW w:w="3405" w:type="dxa"/>
                  <w:tcBorders>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381" w:type="dxa"/>
                  <w:tcBorders>
                    <w:bottom w:val="single" w:color="auto" w:sz="4" w:space="0"/>
                    <w:right w:val="nil"/>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80" w:type="dxa"/>
                  <w:vMerge w:val="restart"/>
                  <w:tcBorders>
                    <w:top w:val="single" w:color="auto" w:sz="4" w:space="0"/>
                    <w:left w:val="nil"/>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无组织废气</w:t>
                  </w:r>
                </w:p>
              </w:tc>
              <w:tc>
                <w:tcPr>
                  <w:tcW w:w="2372" w:type="dxa"/>
                  <w:tcBorders>
                    <w:top w:val="single" w:color="auto" w:sz="4" w:space="0"/>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垃圾收集点外1m</w:t>
                  </w:r>
                </w:p>
              </w:tc>
              <w:tc>
                <w:tcPr>
                  <w:tcW w:w="3405" w:type="dxa"/>
                  <w:vMerge w:val="restart"/>
                  <w:tcBorders>
                    <w:top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臭气浓度</w:t>
                  </w:r>
                </w:p>
              </w:tc>
              <w:tc>
                <w:tcPr>
                  <w:tcW w:w="2381" w:type="dxa"/>
                  <w:vMerge w:val="restart"/>
                  <w:tcBorders>
                    <w:right w:val="nil"/>
                    <w:tl2br w:val="nil"/>
                    <w:tr2bl w:val="nil"/>
                  </w:tcBorders>
                  <w:vAlign w:val="center"/>
                </w:tcPr>
                <w:p>
                  <w:pPr>
                    <w:pStyle w:val="2"/>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连续监测2天，每天3次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80" w:type="dxa"/>
                  <w:vMerge w:val="continue"/>
                  <w:tcBorders>
                    <w:left w:val="nil"/>
                    <w:tl2br w:val="nil"/>
                    <w:tr2bl w:val="nil"/>
                  </w:tcBorders>
                  <w:vAlign w:val="center"/>
                </w:tcPr>
                <w:p>
                  <w:pPr>
                    <w:pStyle w:val="2"/>
                    <w:jc w:val="center"/>
                    <w:rPr>
                      <w:rFonts w:ascii="Times New Roman" w:hAnsi="Times New Roman" w:cs="Times New Roman"/>
                      <w:sz w:val="21"/>
                      <w:szCs w:val="21"/>
                    </w:rPr>
                  </w:pPr>
                </w:p>
              </w:tc>
              <w:tc>
                <w:tcPr>
                  <w:tcW w:w="2372" w:type="dxa"/>
                  <w:tcBorders>
                    <w:top w:val="single" w:color="auto" w:sz="4" w:space="0"/>
                    <w:bottom w:val="single" w:color="auto" w:sz="4" w:space="0"/>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公厕门口外1m</w:t>
                  </w:r>
                </w:p>
              </w:tc>
              <w:tc>
                <w:tcPr>
                  <w:tcW w:w="3405" w:type="dxa"/>
                  <w:vMerge w:val="continue"/>
                  <w:tcBorders>
                    <w:tl2br w:val="nil"/>
                    <w:tr2bl w:val="nil"/>
                  </w:tcBorders>
                  <w:vAlign w:val="center"/>
                </w:tcPr>
                <w:p>
                  <w:pPr>
                    <w:pStyle w:val="2"/>
                    <w:jc w:val="center"/>
                    <w:rPr>
                      <w:rFonts w:ascii="Times New Roman" w:hAnsi="Times New Roman" w:cs="Times New Roman"/>
                      <w:sz w:val="21"/>
                      <w:szCs w:val="21"/>
                    </w:rPr>
                  </w:pPr>
                </w:p>
              </w:tc>
              <w:tc>
                <w:tcPr>
                  <w:tcW w:w="2381" w:type="dxa"/>
                  <w:vMerge w:val="continue"/>
                  <w:tcBorders>
                    <w:right w:val="nil"/>
                    <w:tl2br w:val="nil"/>
                    <w:tr2bl w:val="nil"/>
                  </w:tcBorders>
                  <w:vAlign w:val="center"/>
                </w:tcPr>
                <w:p>
                  <w:pPr>
                    <w:pStyle w:val="2"/>
                    <w:jc w:val="center"/>
                    <w:rPr>
                      <w:rFonts w:ascii="Times New Roman" w:hAnsi="Times New Roman" w:cs="Times New Roman"/>
                      <w:sz w:val="21"/>
                      <w:szCs w:val="21"/>
                    </w:rPr>
                  </w:pPr>
                </w:p>
              </w:tc>
            </w:tr>
          </w:tbl>
          <w:p>
            <w:pPr>
              <w:pStyle w:val="2"/>
              <w:jc w:val="both"/>
              <w:rPr>
                <w:rFonts w:ascii="Times New Roman" w:hAnsi="Times New Roman" w:cs="Times New Roman"/>
                <w:b/>
                <w:bCs/>
                <w:sz w:val="21"/>
                <w:szCs w:val="21"/>
              </w:rPr>
            </w:pPr>
          </w:p>
          <w:p>
            <w:pPr>
              <w:widowControl w:val="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三、噪声</w:t>
            </w:r>
          </w:p>
          <w:p>
            <w:pPr>
              <w:widowControl w:val="0"/>
              <w:spacing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本项目噪声布设4个监测点，监测具体内容见表6-3所示，监测点位布置见图6-1。</w:t>
            </w:r>
          </w:p>
          <w:p>
            <w:pPr>
              <w:widowControl/>
              <w:spacing w:line="360" w:lineRule="auto"/>
              <w:jc w:val="center"/>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表6-3 噪声监测内容</w:t>
            </w:r>
          </w:p>
          <w:tbl>
            <w:tblPr>
              <w:tblStyle w:val="12"/>
              <w:tblW w:w="9638"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0"/>
              <w:gridCol w:w="3029"/>
              <w:gridCol w:w="2673"/>
              <w:gridCol w:w="275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3" w:hRule="atLeast"/>
              </w:trPr>
              <w:tc>
                <w:tcPr>
                  <w:tcW w:w="118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监测类别</w:t>
                  </w:r>
                </w:p>
              </w:tc>
              <w:tc>
                <w:tcPr>
                  <w:tcW w:w="3029"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监测点位</w:t>
                  </w:r>
                </w:p>
              </w:tc>
              <w:tc>
                <w:tcPr>
                  <w:tcW w:w="2673"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56"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监测频次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3" w:hRule="atLeast"/>
              </w:trPr>
              <w:tc>
                <w:tcPr>
                  <w:tcW w:w="1180"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噪声</w:t>
                  </w:r>
                </w:p>
              </w:tc>
              <w:tc>
                <w:tcPr>
                  <w:tcW w:w="3029"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厂界外</w:t>
                  </w:r>
                  <w:r>
                    <w:rPr>
                      <w:rFonts w:ascii="Times New Roman" w:hAnsi="Times New Roman" w:cs="Times New Roman"/>
                      <w:sz w:val="21"/>
                      <w:szCs w:val="21"/>
                    </w:rPr>
                    <w:t>东侧1m处</w:t>
                  </w:r>
                </w:p>
              </w:tc>
              <w:tc>
                <w:tcPr>
                  <w:tcW w:w="2673"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sz w:val="21"/>
                      <w:szCs w:val="21"/>
                    </w:rPr>
                    <w:t>昼、夜</w:t>
                  </w:r>
                  <w:r>
                    <w:rPr>
                      <w:rFonts w:hint="eastAsia" w:ascii="Times New Roman" w:hAnsi="Times New Roman" w:cs="Times New Roman"/>
                      <w:sz w:val="21"/>
                      <w:szCs w:val="21"/>
                    </w:rPr>
                    <w:t>等效声级Leq（A）</w:t>
                  </w:r>
                </w:p>
              </w:tc>
              <w:tc>
                <w:tcPr>
                  <w:tcW w:w="2756" w:type="dxa"/>
                  <w:vMerge w:val="restart"/>
                  <w:tcBorders>
                    <w:tl2br w:val="nil"/>
                    <w:tr2bl w:val="nil"/>
                  </w:tcBorders>
                  <w:vAlign w:val="center"/>
                </w:tcPr>
                <w:p>
                  <w:pPr>
                    <w:pStyle w:val="2"/>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连续监测2天，</w:t>
                  </w:r>
                </w:p>
                <w:p>
                  <w:pPr>
                    <w:pStyle w:val="2"/>
                    <w:jc w:val="center"/>
                    <w:rPr>
                      <w:rFonts w:ascii="Times New Roman" w:hAnsi="Times New Roman" w:cs="Times New Roman"/>
                      <w:sz w:val="21"/>
                      <w:szCs w:val="21"/>
                    </w:rPr>
                  </w:pPr>
                  <w:r>
                    <w:rPr>
                      <w:rFonts w:hint="eastAsia" w:ascii="Times New Roman" w:hAnsi="Times New Roman" w:cs="Times New Roman"/>
                      <w:sz w:val="21"/>
                      <w:szCs w:val="21"/>
                    </w:rPr>
                    <w:t>每天昼、夜间各1次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3" w:hRule="atLeast"/>
              </w:trPr>
              <w:tc>
                <w:tcPr>
                  <w:tcW w:w="1180" w:type="dxa"/>
                  <w:vMerge w:val="continue"/>
                  <w:tcBorders>
                    <w:tl2br w:val="nil"/>
                    <w:tr2bl w:val="nil"/>
                  </w:tcBorders>
                  <w:vAlign w:val="center"/>
                </w:tcPr>
                <w:p>
                  <w:pPr>
                    <w:pStyle w:val="2"/>
                    <w:jc w:val="center"/>
                    <w:rPr>
                      <w:rFonts w:ascii="Times New Roman" w:hAnsi="Times New Roman" w:cs="Times New Roman"/>
                      <w:sz w:val="21"/>
                      <w:szCs w:val="21"/>
                    </w:rPr>
                  </w:pPr>
                </w:p>
              </w:tc>
              <w:tc>
                <w:tcPr>
                  <w:tcW w:w="3029"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w:t>
                  </w:r>
                  <w:r>
                    <w:rPr>
                      <w:rFonts w:ascii="Times New Roman" w:hAnsi="Times New Roman" w:cs="Times New Roman"/>
                      <w:sz w:val="21"/>
                      <w:szCs w:val="21"/>
                    </w:rPr>
                    <w:t>外南侧1m处</w:t>
                  </w:r>
                </w:p>
              </w:tc>
              <w:tc>
                <w:tcPr>
                  <w:tcW w:w="2673" w:type="dxa"/>
                  <w:vMerge w:val="continue"/>
                  <w:tcBorders>
                    <w:tl2br w:val="nil"/>
                    <w:tr2bl w:val="nil"/>
                  </w:tcBorders>
                  <w:vAlign w:val="center"/>
                </w:tcPr>
                <w:p>
                  <w:pPr>
                    <w:rPr>
                      <w:rFonts w:ascii="Times New Roman" w:hAnsi="Times New Roman" w:eastAsia="宋体"/>
                      <w:color w:val="000000"/>
                      <w:sz w:val="24"/>
                      <w:szCs w:val="24"/>
                    </w:rPr>
                  </w:pPr>
                </w:p>
              </w:tc>
              <w:tc>
                <w:tcPr>
                  <w:tcW w:w="2756" w:type="dxa"/>
                  <w:vMerge w:val="continue"/>
                  <w:tcBorders>
                    <w:tl2br w:val="nil"/>
                    <w:tr2bl w:val="nil"/>
                  </w:tcBorders>
                  <w:vAlign w:val="center"/>
                </w:tcPr>
                <w:p>
                  <w:pPr>
                    <w:rPr>
                      <w:rFonts w:ascii="Times New Roman" w:hAnsi="Times New Roman" w:eastAsia="宋体"/>
                      <w:color w:val="000000"/>
                      <w:sz w:val="24"/>
                      <w:szCs w:val="24"/>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3" w:hRule="atLeast"/>
              </w:trPr>
              <w:tc>
                <w:tcPr>
                  <w:tcW w:w="1180" w:type="dxa"/>
                  <w:vMerge w:val="continue"/>
                  <w:tcBorders>
                    <w:tl2br w:val="nil"/>
                    <w:tr2bl w:val="nil"/>
                  </w:tcBorders>
                  <w:vAlign w:val="center"/>
                </w:tcPr>
                <w:p>
                  <w:pPr>
                    <w:pStyle w:val="2"/>
                    <w:jc w:val="center"/>
                    <w:rPr>
                      <w:rFonts w:ascii="Times New Roman" w:hAnsi="Times New Roman" w:cs="Times New Roman"/>
                      <w:sz w:val="21"/>
                      <w:szCs w:val="21"/>
                    </w:rPr>
                  </w:pPr>
                </w:p>
              </w:tc>
              <w:tc>
                <w:tcPr>
                  <w:tcW w:w="3029"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w:t>
                  </w:r>
                  <w:r>
                    <w:rPr>
                      <w:rFonts w:ascii="Times New Roman" w:hAnsi="Times New Roman" w:cs="Times New Roman"/>
                      <w:sz w:val="21"/>
                      <w:szCs w:val="21"/>
                    </w:rPr>
                    <w:t>外西侧1m处</w:t>
                  </w:r>
                </w:p>
              </w:tc>
              <w:tc>
                <w:tcPr>
                  <w:tcW w:w="2673" w:type="dxa"/>
                  <w:vMerge w:val="continue"/>
                  <w:tcBorders>
                    <w:tl2br w:val="nil"/>
                    <w:tr2bl w:val="nil"/>
                  </w:tcBorders>
                  <w:vAlign w:val="center"/>
                </w:tcPr>
                <w:p>
                  <w:pPr>
                    <w:jc w:val="center"/>
                    <w:rPr>
                      <w:szCs w:val="21"/>
                    </w:rPr>
                  </w:pPr>
                </w:p>
              </w:tc>
              <w:tc>
                <w:tcPr>
                  <w:tcW w:w="2756" w:type="dxa"/>
                  <w:vMerge w:val="continue"/>
                  <w:tcBorders>
                    <w:tl2br w:val="nil"/>
                    <w:tr2bl w:val="nil"/>
                  </w:tcBorders>
                  <w:vAlign w:val="center"/>
                </w:tcPr>
                <w:p>
                  <w:pPr>
                    <w:jc w:val="center"/>
                    <w:rPr>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3" w:hRule="atLeast"/>
              </w:trPr>
              <w:tc>
                <w:tcPr>
                  <w:tcW w:w="1180" w:type="dxa"/>
                  <w:vMerge w:val="continue"/>
                  <w:tcBorders>
                    <w:tl2br w:val="nil"/>
                    <w:tr2bl w:val="nil"/>
                  </w:tcBorders>
                  <w:vAlign w:val="center"/>
                </w:tcPr>
                <w:p>
                  <w:pPr>
                    <w:pStyle w:val="2"/>
                    <w:jc w:val="center"/>
                    <w:rPr>
                      <w:rFonts w:ascii="Times New Roman" w:hAnsi="Times New Roman" w:cs="Times New Roman"/>
                      <w:sz w:val="21"/>
                      <w:szCs w:val="21"/>
                    </w:rPr>
                  </w:pPr>
                </w:p>
              </w:tc>
              <w:tc>
                <w:tcPr>
                  <w:tcW w:w="3029"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w:t>
                  </w:r>
                  <w:r>
                    <w:rPr>
                      <w:rFonts w:ascii="Times New Roman" w:hAnsi="Times New Roman" w:cs="Times New Roman"/>
                      <w:sz w:val="21"/>
                      <w:szCs w:val="21"/>
                    </w:rPr>
                    <w:t>外北侧1m处</w:t>
                  </w:r>
                </w:p>
              </w:tc>
              <w:tc>
                <w:tcPr>
                  <w:tcW w:w="2673" w:type="dxa"/>
                  <w:vMerge w:val="continue"/>
                  <w:tcBorders>
                    <w:tl2br w:val="nil"/>
                    <w:tr2bl w:val="nil"/>
                  </w:tcBorders>
                  <w:vAlign w:val="center"/>
                </w:tcPr>
                <w:p>
                  <w:pPr>
                    <w:jc w:val="center"/>
                    <w:rPr>
                      <w:szCs w:val="21"/>
                    </w:rPr>
                  </w:pPr>
                </w:p>
              </w:tc>
              <w:tc>
                <w:tcPr>
                  <w:tcW w:w="2756" w:type="dxa"/>
                  <w:vMerge w:val="continue"/>
                  <w:tcBorders>
                    <w:tl2br w:val="nil"/>
                    <w:tr2bl w:val="nil"/>
                  </w:tcBorders>
                  <w:vAlign w:val="center"/>
                </w:tcPr>
                <w:p>
                  <w:pPr>
                    <w:jc w:val="center"/>
                    <w:rPr>
                      <w:szCs w:val="21"/>
                    </w:rPr>
                  </w:pPr>
                </w:p>
              </w:tc>
            </w:tr>
          </w:tbl>
          <w:p>
            <w:pPr>
              <w:pStyle w:val="2"/>
              <w:jc w:val="both"/>
            </w:pPr>
          </w:p>
        </w:tc>
      </w:tr>
    </w:tbl>
    <w:p>
      <w:pPr>
        <w:pStyle w:val="2"/>
      </w:pPr>
    </w:p>
    <w:p>
      <w:pPr>
        <w:spacing w:line="360" w:lineRule="auto"/>
        <w:rPr>
          <w:rFonts w:eastAsia="仿宋_GB2312"/>
          <w:b/>
          <w:color w:val="000000"/>
          <w:sz w:val="32"/>
          <w:szCs w:val="32"/>
        </w:rPr>
      </w:pPr>
    </w:p>
    <w:p>
      <w:pPr>
        <w:spacing w:line="360" w:lineRule="auto"/>
        <w:rPr>
          <w:rFonts w:eastAsia="仿宋_GB2312"/>
          <w:b/>
          <w:color w:val="000000"/>
          <w:sz w:val="32"/>
          <w:szCs w:val="32"/>
        </w:rPr>
      </w:pPr>
      <w:r>
        <w:rPr>
          <w:rFonts w:eastAsia="仿宋_GB2312"/>
          <w:b/>
          <w:color w:val="000000"/>
          <w:sz w:val="32"/>
          <w:szCs w:val="32"/>
        </w:rPr>
        <w:t>表</w:t>
      </w:r>
      <w:r>
        <w:rPr>
          <w:rFonts w:hint="eastAsia" w:eastAsia="仿宋_GB2312"/>
          <w:b/>
          <w:color w:val="000000"/>
          <w:sz w:val="32"/>
          <w:szCs w:val="32"/>
        </w:rPr>
        <w:t>七</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9854" w:type="dxa"/>
          </w:tcPr>
          <w:p>
            <w:pPr>
              <w:widowControl w:val="0"/>
              <w:spacing w:beforeLines="20"/>
              <w:jc w:val="both"/>
              <w:rPr>
                <w:rFonts w:ascii="宋体" w:hAnsi="宋体" w:eastAsia="宋体"/>
                <w:b/>
                <w:bCs/>
                <w:color w:val="000000" w:themeColor="text1"/>
                <w:sz w:val="28"/>
                <w:szCs w:val="28"/>
              </w:rPr>
            </w:pPr>
            <w:r>
              <w:rPr>
                <w:rFonts w:hint="eastAsia" w:ascii="宋体" w:hAnsi="宋体" w:eastAsia="宋体"/>
                <w:b/>
                <w:bCs/>
                <w:color w:val="000000" w:themeColor="text1"/>
                <w:sz w:val="28"/>
                <w:szCs w:val="28"/>
              </w:rPr>
              <w:t>一、验收监测期间生产工况：</w:t>
            </w:r>
          </w:p>
          <w:p>
            <w:pPr>
              <w:pStyle w:val="2"/>
              <w:spacing w:line="360" w:lineRule="auto"/>
              <w:ind w:firstLine="480" w:firstLineChars="200"/>
              <w:jc w:val="both"/>
              <w:rPr>
                <w:rFonts w:ascii="Times New Roman" w:hAnsi="Times New Roman" w:cs="Times New Roman"/>
                <w:color w:val="000000" w:themeColor="text1"/>
              </w:rPr>
            </w:pPr>
            <w:r>
              <w:rPr>
                <w:rFonts w:ascii="Times New Roman" w:hAnsi="Times New Roman" w:cs="Times New Roman"/>
                <w:color w:val="auto"/>
              </w:rPr>
              <w:t>2019年9月28日至29日，贵州鑫利源检测技术有限公司对道真金瑞中心城一期房地产开发建设项目进行了现场监测，通过现场调查环保设施运行正常，经与客户沟通，客户告知项目设计住房</w:t>
            </w:r>
            <w:r>
              <w:rPr>
                <w:rFonts w:hint="eastAsia" w:ascii="Times New Roman" w:hAnsi="Times New Roman" w:cs="Times New Roman"/>
                <w:color w:val="auto"/>
              </w:rPr>
              <w:t>572</w:t>
            </w:r>
            <w:r>
              <w:rPr>
                <w:rFonts w:ascii="Times New Roman" w:hAnsi="Times New Roman" w:cs="Times New Roman"/>
                <w:color w:val="auto"/>
              </w:rPr>
              <w:t>套，</w:t>
            </w:r>
            <w:r>
              <w:rPr>
                <w:rFonts w:hint="eastAsia" w:ascii="Times New Roman" w:hAnsi="Times New Roman" w:cs="Times New Roman"/>
                <w:color w:val="auto"/>
              </w:rPr>
              <w:t>实际入住率458套，</w:t>
            </w:r>
            <w:r>
              <w:rPr>
                <w:rFonts w:ascii="Times New Roman" w:hAnsi="Times New Roman" w:cs="Times New Roman"/>
                <w:color w:val="auto"/>
              </w:rPr>
              <w:t>监测期间现住房入住率为80%，满足监测要求。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6" w:hRule="atLeast"/>
        </w:trPr>
        <w:tc>
          <w:tcPr>
            <w:tcW w:w="9854" w:type="dxa"/>
          </w:tcPr>
          <w:p>
            <w:pPr>
              <w:widowControl w:val="0"/>
              <w:spacing w:beforeLines="20"/>
              <w:jc w:val="both"/>
              <w:rPr>
                <w:rFonts w:ascii="宋体" w:hAnsi="宋体" w:eastAsia="宋体"/>
                <w:b/>
                <w:bCs/>
                <w:color w:val="000000"/>
                <w:sz w:val="28"/>
                <w:szCs w:val="28"/>
              </w:rPr>
            </w:pPr>
            <w:r>
              <w:rPr>
                <w:rFonts w:hint="eastAsia" w:ascii="宋体" w:hAnsi="宋体" w:eastAsia="宋体"/>
                <w:b/>
                <w:bCs/>
                <w:color w:val="000000"/>
                <w:sz w:val="28"/>
                <w:szCs w:val="28"/>
              </w:rPr>
              <w:t>二、验收监测结果：</w:t>
            </w:r>
          </w:p>
          <w:p>
            <w:pPr>
              <w:widowControl w:val="0"/>
              <w:spacing w:beforeLines="2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2.1 废水监测结果见表7-1。</w:t>
            </w:r>
          </w:p>
          <w:p>
            <w:pPr>
              <w:widowControl/>
              <w:spacing w:line="280" w:lineRule="exact"/>
              <w:jc w:val="center"/>
              <w:rPr>
                <w:rFonts w:ascii="Times New Roman" w:hAnsi="Times New Roman" w:eastAsia="宋体"/>
                <w:b/>
                <w:bCs/>
                <w:color w:val="000000"/>
                <w:sz w:val="24"/>
                <w:szCs w:val="24"/>
              </w:rPr>
            </w:pPr>
            <w:r>
              <w:rPr>
                <w:rFonts w:ascii="Times New Roman" w:hAnsi="Times New Roman" w:eastAsia="宋体"/>
                <w:b/>
                <w:bCs/>
                <w:color w:val="000000"/>
                <w:sz w:val="24"/>
                <w:szCs w:val="24"/>
              </w:rPr>
              <w:t>表7-1 废水监测结果</w:t>
            </w:r>
          </w:p>
          <w:tbl>
            <w:tblPr>
              <w:tblStyle w:val="12"/>
              <w:tblW w:w="96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136"/>
              <w:gridCol w:w="1325"/>
              <w:gridCol w:w="1271"/>
              <w:gridCol w:w="1271"/>
              <w:gridCol w:w="1271"/>
              <w:gridCol w:w="1212"/>
              <w:gridCol w:w="8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289"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监测位置</w:t>
                  </w: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p>
                <w:p>
                  <w:pPr>
                    <w:pStyle w:val="2"/>
                    <w:jc w:val="center"/>
                    <w:rPr>
                      <w:rFonts w:ascii="Times New Roman" w:hAnsi="Times New Roman" w:cs="Times New Roman"/>
                      <w:sz w:val="21"/>
                      <w:szCs w:val="21"/>
                    </w:rPr>
                  </w:pPr>
                  <w:r>
                    <w:rPr>
                      <w:rFonts w:ascii="Times New Roman" w:hAnsi="Times New Roman" w:cs="Times New Roman"/>
                      <w:sz w:val="21"/>
                      <w:szCs w:val="21"/>
                    </w:rPr>
                    <w:t>监测因子</w:t>
                  </w:r>
                </w:p>
                <w:p>
                  <w:pPr>
                    <w:pStyle w:val="2"/>
                    <w:jc w:val="center"/>
                    <w:rPr>
                      <w:rFonts w:ascii="Times New Roman" w:hAnsi="Times New Roman" w:cs="Times New Roman"/>
                      <w:sz w:val="21"/>
                      <w:szCs w:val="21"/>
                    </w:rPr>
                  </w:pPr>
                </w:p>
              </w:tc>
              <w:tc>
                <w:tcPr>
                  <w:tcW w:w="1325"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采样</w:t>
                  </w:r>
                  <w:r>
                    <w:rPr>
                      <w:rFonts w:ascii="Times New Roman" w:hAnsi="Times New Roman" w:cs="Times New Roman"/>
                      <w:sz w:val="21"/>
                      <w:szCs w:val="21"/>
                    </w:rPr>
                    <w:t>日期</w:t>
                  </w:r>
                </w:p>
              </w:tc>
              <w:tc>
                <w:tcPr>
                  <w:tcW w:w="3813" w:type="dxa"/>
                  <w:gridSpan w:val="3"/>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监测结果（单位：mg/L</w:t>
                  </w:r>
                  <w:r>
                    <w:rPr>
                      <w:rFonts w:hint="eastAsia" w:ascii="Times New Roman" w:hAnsi="Times New Roman" w:cs="Times New Roman"/>
                      <w:sz w:val="21"/>
                      <w:szCs w:val="21"/>
                    </w:rPr>
                    <w:t>，</w:t>
                  </w:r>
                  <w:r>
                    <w:rPr>
                      <w:rFonts w:ascii="Times New Roman" w:hAnsi="Times New Roman" w:cs="Times New Roman"/>
                      <w:sz w:val="21"/>
                      <w:szCs w:val="21"/>
                    </w:rPr>
                    <w:t>pH</w:t>
                  </w:r>
                  <w:r>
                    <w:rPr>
                      <w:rFonts w:hint="eastAsia" w:ascii="Times New Roman" w:hAnsi="Times New Roman" w:cs="Times New Roman"/>
                      <w:sz w:val="21"/>
                      <w:szCs w:val="21"/>
                    </w:rPr>
                    <w:t>：</w:t>
                  </w:r>
                  <w:r>
                    <w:rPr>
                      <w:rFonts w:ascii="Times New Roman" w:hAnsi="Times New Roman" w:cs="Times New Roman"/>
                      <w:sz w:val="21"/>
                      <w:szCs w:val="21"/>
                    </w:rPr>
                    <w:t>无量纲</w:t>
                  </w:r>
                  <w:r>
                    <w:rPr>
                      <w:rFonts w:hint="eastAsia" w:ascii="Times New Roman" w:hAnsi="Times New Roman" w:cs="Times New Roman"/>
                      <w:sz w:val="21"/>
                      <w:szCs w:val="21"/>
                    </w:rPr>
                    <w:t>，粪大肠菌群：MPN/L</w:t>
                  </w:r>
                  <w:r>
                    <w:rPr>
                      <w:rFonts w:ascii="Times New Roman" w:hAnsi="Times New Roman" w:cs="Times New Roman"/>
                      <w:sz w:val="21"/>
                      <w:szCs w:val="21"/>
                    </w:rPr>
                    <w:t>）</w:t>
                  </w:r>
                </w:p>
              </w:tc>
              <w:tc>
                <w:tcPr>
                  <w:tcW w:w="1212"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评价标准排放浓度</w:t>
                  </w:r>
                </w:p>
              </w:tc>
              <w:tc>
                <w:tcPr>
                  <w:tcW w:w="863"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是否</w:t>
                  </w:r>
                </w:p>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第一次</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第二次</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第三次</w:t>
                  </w:r>
                </w:p>
              </w:tc>
              <w:tc>
                <w:tcPr>
                  <w:tcW w:w="1212" w:type="dxa"/>
                  <w:vMerge w:val="continue"/>
                  <w:tcBorders>
                    <w:tl2br w:val="nil"/>
                    <w:tr2bl w:val="nil"/>
                  </w:tcBorders>
                </w:tcPr>
                <w:p>
                  <w:pPr>
                    <w:pStyle w:val="2"/>
                    <w:jc w:val="center"/>
                    <w:rPr>
                      <w:rFonts w:ascii="Times New Roman" w:hAnsi="Times New Roman" w:cs="Times New Roman"/>
                      <w:sz w:val="21"/>
                      <w:szCs w:val="21"/>
                    </w:rPr>
                  </w:pPr>
                </w:p>
              </w:tc>
              <w:tc>
                <w:tcPr>
                  <w:tcW w:w="863" w:type="dxa"/>
                  <w:vMerge w:val="continue"/>
                  <w:tcBorders>
                    <w:tl2br w:val="nil"/>
                    <w:tr2bl w:val="nil"/>
                  </w:tcBorders>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污水处理站排口</w:t>
                  </w: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pH</w:t>
                  </w: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7.09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7.15</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7.27</w:t>
                  </w:r>
                </w:p>
              </w:tc>
              <w:tc>
                <w:tcPr>
                  <w:tcW w:w="1212"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6</w:t>
                  </w:r>
                  <w:r>
                    <w:rPr>
                      <w:rFonts w:hint="eastAsia" w:hAnsi="宋体"/>
                      <w:sz w:val="21"/>
                      <w:szCs w:val="21"/>
                    </w:rPr>
                    <w:t>～</w:t>
                  </w:r>
                  <w:r>
                    <w:rPr>
                      <w:rFonts w:hint="eastAsia" w:ascii="Times New Roman" w:hAnsi="Times New Roman" w:cs="Times New Roman"/>
                      <w:sz w:val="21"/>
                      <w:szCs w:val="21"/>
                    </w:rPr>
                    <w:t>9</w:t>
                  </w:r>
                </w:p>
              </w:tc>
              <w:tc>
                <w:tcPr>
                  <w:tcW w:w="863"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7.01</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7.20</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7.12</w:t>
                  </w:r>
                </w:p>
              </w:tc>
              <w:tc>
                <w:tcPr>
                  <w:tcW w:w="1212"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63"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448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440</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456</w:t>
                  </w:r>
                </w:p>
              </w:tc>
              <w:tc>
                <w:tcPr>
                  <w:tcW w:w="1212"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500</w:t>
                  </w:r>
                </w:p>
              </w:tc>
              <w:tc>
                <w:tcPr>
                  <w:tcW w:w="863"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486</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493</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467</w:t>
                  </w:r>
                </w:p>
              </w:tc>
              <w:tc>
                <w:tcPr>
                  <w:tcW w:w="1212"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63"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125</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115</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120</w:t>
                  </w:r>
                </w:p>
              </w:tc>
              <w:tc>
                <w:tcPr>
                  <w:tcW w:w="1212"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300</w:t>
                  </w:r>
                </w:p>
              </w:tc>
              <w:tc>
                <w:tcPr>
                  <w:tcW w:w="863"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130</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140</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125</w:t>
                  </w:r>
                </w:p>
              </w:tc>
              <w:tc>
                <w:tcPr>
                  <w:tcW w:w="1212"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63"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动植物油</w:t>
                  </w: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18.1</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17.7</w:t>
                  </w:r>
                </w:p>
              </w:tc>
              <w:tc>
                <w:tcPr>
                  <w:tcW w:w="1212" w:type="dxa"/>
                  <w:vMerge w:val="restart"/>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100</w:t>
                  </w:r>
                </w:p>
              </w:tc>
              <w:tc>
                <w:tcPr>
                  <w:tcW w:w="863" w:type="dxa"/>
                  <w:vMerge w:val="restart"/>
                  <w:tcBorders>
                    <w:tl2br w:val="nil"/>
                    <w:tr2bl w:val="nil"/>
                  </w:tcBorders>
                  <w:vAlign w:val="center"/>
                </w:tcPr>
                <w:p>
                  <w:pPr>
                    <w:pStyle w:val="2"/>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16.9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17.3</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17.4</w:t>
                  </w:r>
                </w:p>
              </w:tc>
              <w:tc>
                <w:tcPr>
                  <w:tcW w:w="1212"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63"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氨氮</w:t>
                  </w: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63.9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65.3</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62.3</w:t>
                  </w:r>
                </w:p>
              </w:tc>
              <w:tc>
                <w:tcPr>
                  <w:tcW w:w="1212"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63"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61.5</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63.4</w:t>
                  </w:r>
                </w:p>
              </w:tc>
              <w:tc>
                <w:tcPr>
                  <w:tcW w:w="1271"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66.4</w:t>
                  </w:r>
                </w:p>
              </w:tc>
              <w:tc>
                <w:tcPr>
                  <w:tcW w:w="1212"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63"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粪大肠</w:t>
                  </w:r>
                </w:p>
                <w:p>
                  <w:pPr>
                    <w:pStyle w:val="2"/>
                    <w:jc w:val="center"/>
                    <w:rPr>
                      <w:rFonts w:ascii="Times New Roman" w:hAnsi="Times New Roman" w:cs="Times New Roman"/>
                      <w:sz w:val="21"/>
                      <w:szCs w:val="21"/>
                    </w:rPr>
                  </w:pPr>
                  <w:r>
                    <w:rPr>
                      <w:rFonts w:hint="eastAsia" w:ascii="Times New Roman" w:hAnsi="Times New Roman" w:cs="Times New Roman"/>
                      <w:sz w:val="21"/>
                      <w:szCs w:val="21"/>
                    </w:rPr>
                    <w:t>菌群</w:t>
                  </w: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24000</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24000</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24000</w:t>
                  </w:r>
                </w:p>
              </w:tc>
              <w:tc>
                <w:tcPr>
                  <w:tcW w:w="1212"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63"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9"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36"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25"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24000</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24000</w:t>
                  </w:r>
                </w:p>
              </w:tc>
              <w:tc>
                <w:tcPr>
                  <w:tcW w:w="1271"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24000</w:t>
                  </w:r>
                </w:p>
              </w:tc>
              <w:tc>
                <w:tcPr>
                  <w:tcW w:w="1212"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63" w:type="dxa"/>
                  <w:vMerge w:val="continue"/>
                  <w:tcBorders>
                    <w:tl2br w:val="nil"/>
                    <w:tr2bl w:val="nil"/>
                  </w:tcBorders>
                  <w:vAlign w:val="center"/>
                </w:tcPr>
                <w:p>
                  <w:pPr>
                    <w:pStyle w:val="2"/>
                    <w:jc w:val="center"/>
                    <w:rPr>
                      <w:rFonts w:ascii="Times New Roman" w:hAnsi="Times New Roman" w:cs="Times New Roman"/>
                      <w:sz w:val="21"/>
                      <w:szCs w:val="21"/>
                    </w:rPr>
                  </w:pPr>
                </w:p>
              </w:tc>
            </w:tr>
          </w:tbl>
          <w:p>
            <w:pPr>
              <w:widowControl w:val="0"/>
              <w:spacing w:beforeLines="20" w:line="120" w:lineRule="auto"/>
              <w:ind w:firstLine="480" w:firstLineChars="200"/>
              <w:jc w:val="both"/>
              <w:rPr>
                <w:rFonts w:ascii="Times New Roman" w:hAnsi="Times New Roman" w:eastAsia="宋体"/>
                <w:sz w:val="24"/>
                <w:szCs w:val="24"/>
              </w:rPr>
            </w:pPr>
          </w:p>
          <w:p>
            <w:pPr>
              <w:widowControl w:val="0"/>
              <w:spacing w:beforeLines="20" w:line="360" w:lineRule="auto"/>
              <w:ind w:firstLine="480" w:firstLineChars="200"/>
              <w:jc w:val="both"/>
              <w:rPr>
                <w:rFonts w:ascii="Times New Roman" w:hAnsi="Times New Roman" w:eastAsia="宋体"/>
                <w:color w:val="000000" w:themeColor="text1"/>
                <w:sz w:val="24"/>
                <w:szCs w:val="24"/>
              </w:rPr>
            </w:pPr>
            <w:r>
              <w:rPr>
                <w:rFonts w:ascii="Times New Roman" w:hAnsi="Times New Roman" w:eastAsia="宋体"/>
                <w:sz w:val="24"/>
                <w:szCs w:val="24"/>
              </w:rPr>
              <w:t>经监测，</w:t>
            </w:r>
            <w:r>
              <w:rPr>
                <w:rFonts w:hint="eastAsia" w:ascii="Times New Roman" w:hAnsi="Times New Roman" w:eastAsia="宋体"/>
                <w:sz w:val="24"/>
                <w:szCs w:val="24"/>
              </w:rPr>
              <w:t>污水处理站排口</w:t>
            </w:r>
            <w:r>
              <w:rPr>
                <w:rFonts w:ascii="Times New Roman" w:hAnsi="Times New Roman" w:eastAsia="宋体"/>
                <w:sz w:val="24"/>
                <w:szCs w:val="24"/>
              </w:rPr>
              <w:t>监测</w:t>
            </w:r>
            <w:r>
              <w:rPr>
                <w:rFonts w:hint="eastAsia" w:ascii="Times New Roman" w:hAnsi="Times New Roman" w:eastAsia="宋体"/>
                <w:sz w:val="24"/>
                <w:szCs w:val="24"/>
              </w:rPr>
              <w:t>的</w:t>
            </w:r>
            <w:r>
              <w:rPr>
                <w:rFonts w:ascii="Times New Roman" w:hAnsi="Times New Roman" w:eastAsia="宋体"/>
                <w:sz w:val="24"/>
                <w:szCs w:val="24"/>
              </w:rPr>
              <w:t>pH、COD</w:t>
            </w:r>
            <w:r>
              <w:rPr>
                <w:rFonts w:ascii="Times New Roman" w:hAnsi="Times New Roman" w:eastAsia="宋体"/>
                <w:sz w:val="24"/>
                <w:szCs w:val="24"/>
                <w:vertAlign w:val="subscript"/>
              </w:rPr>
              <w:t>cr</w:t>
            </w:r>
            <w:r>
              <w:rPr>
                <w:rFonts w:ascii="Times New Roman" w:hAnsi="Times New Roman" w:eastAsia="宋体"/>
                <w:sz w:val="24"/>
                <w:szCs w:val="24"/>
              </w:rPr>
              <w:t>、BOD</w:t>
            </w:r>
            <w:r>
              <w:rPr>
                <w:rFonts w:ascii="Times New Roman" w:hAnsi="Times New Roman" w:eastAsia="宋体"/>
                <w:sz w:val="24"/>
                <w:szCs w:val="24"/>
                <w:vertAlign w:val="subscript"/>
              </w:rPr>
              <w:t>5</w:t>
            </w:r>
            <w:r>
              <w:rPr>
                <w:rFonts w:ascii="Times New Roman" w:hAnsi="Times New Roman" w:eastAsia="宋体"/>
                <w:sz w:val="24"/>
                <w:szCs w:val="24"/>
              </w:rPr>
              <w:t>、</w:t>
            </w:r>
            <w:r>
              <w:rPr>
                <w:rFonts w:hint="eastAsia" w:ascii="Times New Roman" w:hAnsi="Times New Roman" w:eastAsia="宋体"/>
                <w:sz w:val="24"/>
                <w:szCs w:val="24"/>
              </w:rPr>
              <w:t>动植物油</w:t>
            </w:r>
            <w:r>
              <w:rPr>
                <w:rFonts w:ascii="Times New Roman" w:hAnsi="Times New Roman" w:eastAsia="宋体"/>
                <w:sz w:val="24"/>
                <w:szCs w:val="24"/>
              </w:rPr>
              <w:t>的监测结果均满足《</w:t>
            </w:r>
            <w:r>
              <w:rPr>
                <w:rFonts w:hint="eastAsia" w:ascii="Times New Roman" w:hAnsi="Times New Roman" w:eastAsia="宋体"/>
                <w:sz w:val="24"/>
                <w:szCs w:val="24"/>
              </w:rPr>
              <w:t>污水综合排放标准</w:t>
            </w:r>
            <w:r>
              <w:rPr>
                <w:rFonts w:ascii="Times New Roman" w:hAnsi="Times New Roman" w:eastAsia="宋体"/>
                <w:sz w:val="24"/>
                <w:szCs w:val="24"/>
              </w:rPr>
              <w:t>》（GB</w:t>
            </w:r>
            <w:r>
              <w:rPr>
                <w:rFonts w:hint="eastAsia" w:ascii="Times New Roman" w:hAnsi="Times New Roman" w:eastAsia="宋体"/>
                <w:sz w:val="24"/>
                <w:szCs w:val="24"/>
              </w:rPr>
              <w:t>8978-1996</w:t>
            </w:r>
            <w:r>
              <w:rPr>
                <w:rFonts w:ascii="Times New Roman" w:hAnsi="Times New Roman" w:eastAsia="宋体"/>
                <w:sz w:val="24"/>
                <w:szCs w:val="24"/>
              </w:rPr>
              <w:t>）</w:t>
            </w:r>
            <w:r>
              <w:rPr>
                <w:rFonts w:hint="eastAsia" w:ascii="Times New Roman" w:hAnsi="Times New Roman" w:eastAsia="宋体"/>
                <w:sz w:val="24"/>
                <w:szCs w:val="24"/>
              </w:rPr>
              <w:t>三级</w:t>
            </w:r>
            <w:r>
              <w:rPr>
                <w:rFonts w:ascii="Times New Roman" w:hAnsi="Times New Roman" w:eastAsia="宋体"/>
                <w:sz w:val="24"/>
                <w:szCs w:val="24"/>
              </w:rPr>
              <w:t>排放标准</w:t>
            </w:r>
            <w:r>
              <w:rPr>
                <w:rFonts w:hint="eastAsia" w:ascii="Times New Roman" w:hAnsi="Times New Roman" w:eastAsia="宋体"/>
                <w:sz w:val="24"/>
                <w:szCs w:val="24"/>
              </w:rPr>
              <w:t>的要求；</w:t>
            </w:r>
            <w:r>
              <w:rPr>
                <w:rFonts w:ascii="Times New Roman" w:hAnsi="Times New Roman" w:eastAsia="宋体"/>
                <w:sz w:val="24"/>
                <w:szCs w:val="24"/>
              </w:rPr>
              <w:t>标准中未对氨氮</w:t>
            </w:r>
            <w:r>
              <w:rPr>
                <w:rFonts w:hint="eastAsia" w:ascii="Times New Roman" w:hAnsi="Times New Roman" w:eastAsia="宋体"/>
                <w:sz w:val="24"/>
                <w:szCs w:val="24"/>
              </w:rPr>
              <w:t>、粪大肠菌群</w:t>
            </w:r>
            <w:r>
              <w:rPr>
                <w:rFonts w:ascii="Times New Roman" w:hAnsi="Times New Roman" w:eastAsia="宋体"/>
                <w:sz w:val="24"/>
                <w:szCs w:val="24"/>
              </w:rPr>
              <w:t>做要求，故不予评价</w:t>
            </w:r>
            <w:r>
              <w:rPr>
                <w:rFonts w:hint="eastAsia" w:ascii="Times New Roman" w:hAnsi="Times New Roman" w:eastAsia="宋体"/>
                <w:sz w:val="24"/>
                <w:szCs w:val="24"/>
              </w:rPr>
              <w:t>。</w:t>
            </w:r>
          </w:p>
        </w:tc>
      </w:tr>
    </w:tbl>
    <w:p>
      <w:pPr>
        <w:widowControl w:val="0"/>
        <w:spacing w:beforeLines="20"/>
        <w:jc w:val="both"/>
        <w:rPr>
          <w:rFonts w:ascii="宋体" w:hAnsi="宋体" w:eastAsia="宋体"/>
          <w:b/>
          <w:bCs/>
          <w:color w:val="000000"/>
          <w:sz w:val="28"/>
          <w:szCs w:val="28"/>
        </w:rPr>
        <w:sectPr>
          <w:pgSz w:w="11906" w:h="16838"/>
          <w:pgMar w:top="1440" w:right="1134" w:bottom="1440" w:left="1134" w:header="709" w:footer="709" w:gutter="0"/>
          <w:cols w:space="0" w:num="1"/>
          <w:docGrid w:linePitch="312" w:charSpace="0"/>
        </w:sectPr>
      </w:pP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6" w:hRule="atLeast"/>
        </w:trPr>
        <w:tc>
          <w:tcPr>
            <w:tcW w:w="9854" w:type="dxa"/>
          </w:tcPr>
          <w:p>
            <w:pPr>
              <w:widowControl w:val="0"/>
              <w:spacing w:beforeLines="2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2.2废气监测结果见表</w:t>
            </w:r>
            <w:r>
              <w:rPr>
                <w:rFonts w:hint="eastAsia" w:ascii="Times New Roman" w:hAnsi="Times New Roman" w:eastAsia="宋体"/>
                <w:color w:val="000000" w:themeColor="text1"/>
                <w:sz w:val="24"/>
                <w:szCs w:val="24"/>
              </w:rPr>
              <w:t>7-2；气象参数见表7-3。</w:t>
            </w:r>
          </w:p>
          <w:p>
            <w:pPr>
              <w:widowControl/>
              <w:jc w:val="center"/>
              <w:rPr>
                <w:rFonts w:ascii="Times New Roman" w:hAnsi="Times New Roman" w:eastAsia="宋体"/>
                <w:b/>
                <w:bCs/>
                <w:color w:val="000000"/>
                <w:sz w:val="24"/>
                <w:szCs w:val="24"/>
              </w:rPr>
            </w:pPr>
            <w:r>
              <w:rPr>
                <w:rFonts w:ascii="Times New Roman" w:hAnsi="Times New Roman" w:eastAsia="宋体"/>
                <w:b/>
                <w:bCs/>
                <w:color w:val="000000"/>
                <w:sz w:val="24"/>
                <w:szCs w:val="24"/>
              </w:rPr>
              <w:t>表7-</w:t>
            </w:r>
            <w:r>
              <w:rPr>
                <w:rFonts w:hint="eastAsia" w:ascii="Times New Roman" w:hAnsi="Times New Roman" w:eastAsia="宋体"/>
                <w:b/>
                <w:bCs/>
                <w:color w:val="000000"/>
                <w:sz w:val="24"/>
                <w:szCs w:val="24"/>
              </w:rPr>
              <w:t>2</w:t>
            </w:r>
            <w:r>
              <w:rPr>
                <w:rFonts w:ascii="Times New Roman" w:hAnsi="Times New Roman" w:eastAsia="宋体"/>
                <w:b/>
                <w:bCs/>
                <w:color w:val="000000"/>
                <w:sz w:val="24"/>
                <w:szCs w:val="24"/>
              </w:rPr>
              <w:t xml:space="preserve"> </w:t>
            </w:r>
            <w:r>
              <w:rPr>
                <w:rFonts w:hint="eastAsia" w:ascii="Times New Roman" w:hAnsi="Times New Roman" w:eastAsia="宋体"/>
                <w:b/>
                <w:bCs/>
                <w:color w:val="000000"/>
                <w:sz w:val="24"/>
                <w:szCs w:val="24"/>
              </w:rPr>
              <w:t>无组织</w:t>
            </w:r>
            <w:r>
              <w:rPr>
                <w:rFonts w:ascii="Times New Roman" w:hAnsi="Times New Roman" w:eastAsia="宋体"/>
                <w:b/>
                <w:bCs/>
                <w:color w:val="000000"/>
                <w:sz w:val="24"/>
                <w:szCs w:val="24"/>
              </w:rPr>
              <w:t>废</w:t>
            </w:r>
            <w:r>
              <w:rPr>
                <w:rFonts w:hint="eastAsia" w:ascii="Times New Roman" w:hAnsi="Times New Roman" w:eastAsia="宋体"/>
                <w:b/>
                <w:bCs/>
                <w:color w:val="000000"/>
                <w:sz w:val="24"/>
                <w:szCs w:val="24"/>
              </w:rPr>
              <w:t>气</w:t>
            </w:r>
            <w:r>
              <w:rPr>
                <w:rFonts w:ascii="Times New Roman" w:hAnsi="Times New Roman" w:eastAsia="宋体"/>
                <w:b/>
                <w:bCs/>
                <w:color w:val="000000"/>
                <w:sz w:val="24"/>
                <w:szCs w:val="24"/>
              </w:rPr>
              <w:t>监测结果</w:t>
            </w:r>
          </w:p>
          <w:tbl>
            <w:tblPr>
              <w:tblStyle w:val="12"/>
              <w:tblW w:w="96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335"/>
              <w:gridCol w:w="887"/>
              <w:gridCol w:w="887"/>
              <w:gridCol w:w="887"/>
              <w:gridCol w:w="887"/>
              <w:gridCol w:w="887"/>
              <w:gridCol w:w="890"/>
              <w:gridCol w:w="1167"/>
              <w:gridCol w:w="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10"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监测因子</w:t>
                  </w:r>
                </w:p>
              </w:tc>
              <w:tc>
                <w:tcPr>
                  <w:tcW w:w="1335"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监测位置</w:t>
                  </w:r>
                </w:p>
              </w:tc>
              <w:tc>
                <w:tcPr>
                  <w:tcW w:w="5325" w:type="dxa"/>
                  <w:gridSpan w:val="6"/>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监测结果（</w:t>
                  </w:r>
                  <w:r>
                    <w:rPr>
                      <w:rFonts w:hint="eastAsia" w:ascii="Times New Roman" w:hAnsi="Times New Roman" w:cs="Times New Roman"/>
                      <w:sz w:val="21"/>
                      <w:szCs w:val="21"/>
                    </w:rPr>
                    <w:t>无量纲</w:t>
                  </w:r>
                  <w:r>
                    <w:rPr>
                      <w:rFonts w:ascii="Times New Roman" w:hAnsi="Times New Roman" w:cs="Times New Roman"/>
                      <w:sz w:val="21"/>
                      <w:szCs w:val="21"/>
                    </w:rPr>
                    <w:t>）</w:t>
                  </w:r>
                </w:p>
              </w:tc>
              <w:tc>
                <w:tcPr>
                  <w:tcW w:w="1167"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评价标准排放浓度</w:t>
                  </w:r>
                </w:p>
              </w:tc>
              <w:tc>
                <w:tcPr>
                  <w:tcW w:w="701"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是否</w:t>
                  </w:r>
                </w:p>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10"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35" w:type="dxa"/>
                  <w:vMerge w:val="continue"/>
                  <w:tcBorders>
                    <w:tl2br w:val="nil"/>
                    <w:tr2bl w:val="nil"/>
                  </w:tcBorders>
                  <w:vAlign w:val="center"/>
                </w:tcPr>
                <w:p>
                  <w:pPr>
                    <w:pStyle w:val="2"/>
                    <w:jc w:val="center"/>
                    <w:rPr>
                      <w:rFonts w:ascii="Times New Roman" w:hAnsi="Times New Roman" w:cs="Times New Roman"/>
                      <w:sz w:val="21"/>
                      <w:szCs w:val="21"/>
                    </w:rPr>
                  </w:pPr>
                </w:p>
              </w:tc>
              <w:tc>
                <w:tcPr>
                  <w:tcW w:w="2661" w:type="dxa"/>
                  <w:gridSpan w:val="3"/>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2664" w:type="dxa"/>
                  <w:gridSpan w:val="3"/>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167" w:type="dxa"/>
                  <w:vMerge w:val="continue"/>
                  <w:tcBorders>
                    <w:tl2br w:val="nil"/>
                    <w:tr2bl w:val="nil"/>
                  </w:tcBorders>
                  <w:vAlign w:val="center"/>
                </w:tcPr>
                <w:p>
                  <w:pPr>
                    <w:pStyle w:val="2"/>
                    <w:jc w:val="center"/>
                    <w:rPr>
                      <w:rFonts w:ascii="Times New Roman" w:hAnsi="Times New Roman" w:cs="Times New Roman"/>
                      <w:sz w:val="21"/>
                      <w:szCs w:val="21"/>
                    </w:rPr>
                  </w:pPr>
                </w:p>
              </w:tc>
              <w:tc>
                <w:tcPr>
                  <w:tcW w:w="701"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10"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35" w:type="dxa"/>
                  <w:vMerge w:val="continue"/>
                  <w:tcBorders>
                    <w:tl2br w:val="nil"/>
                    <w:tr2bl w:val="nil"/>
                  </w:tcBorders>
                  <w:vAlign w:val="center"/>
                </w:tcPr>
                <w:p>
                  <w:pPr>
                    <w:pStyle w:val="2"/>
                    <w:jc w:val="center"/>
                    <w:rPr>
                      <w:rFonts w:ascii="Times New Roman" w:hAnsi="Times New Roman" w:cs="Times New Roman"/>
                      <w:sz w:val="21"/>
                      <w:szCs w:val="21"/>
                    </w:rPr>
                  </w:pPr>
                </w:p>
              </w:tc>
              <w:tc>
                <w:tcPr>
                  <w:tcW w:w="887"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第一次</w:t>
                  </w:r>
                </w:p>
              </w:tc>
              <w:tc>
                <w:tcPr>
                  <w:tcW w:w="887"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第二次</w:t>
                  </w:r>
                </w:p>
              </w:tc>
              <w:tc>
                <w:tcPr>
                  <w:tcW w:w="887"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第三次</w:t>
                  </w:r>
                </w:p>
              </w:tc>
              <w:tc>
                <w:tcPr>
                  <w:tcW w:w="887"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第一次</w:t>
                  </w:r>
                </w:p>
              </w:tc>
              <w:tc>
                <w:tcPr>
                  <w:tcW w:w="887"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第二次</w:t>
                  </w:r>
                </w:p>
              </w:tc>
              <w:tc>
                <w:tcPr>
                  <w:tcW w:w="890"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第三次</w:t>
                  </w:r>
                </w:p>
              </w:tc>
              <w:tc>
                <w:tcPr>
                  <w:tcW w:w="1167" w:type="dxa"/>
                  <w:vMerge w:val="continue"/>
                  <w:tcBorders>
                    <w:tl2br w:val="nil"/>
                    <w:tr2bl w:val="nil"/>
                  </w:tcBorders>
                  <w:vAlign w:val="center"/>
                </w:tcPr>
                <w:p>
                  <w:pPr>
                    <w:pStyle w:val="2"/>
                    <w:jc w:val="center"/>
                    <w:rPr>
                      <w:rFonts w:ascii="Times New Roman" w:hAnsi="Times New Roman" w:cs="Times New Roman"/>
                      <w:sz w:val="21"/>
                      <w:szCs w:val="21"/>
                    </w:rPr>
                  </w:pPr>
                </w:p>
              </w:tc>
              <w:tc>
                <w:tcPr>
                  <w:tcW w:w="701"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10"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臭气浓度</w:t>
                  </w:r>
                </w:p>
              </w:tc>
              <w:tc>
                <w:tcPr>
                  <w:tcW w:w="1335"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垃圾收集点外1m</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14</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19</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18</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15</w:t>
                  </w:r>
                </w:p>
              </w:tc>
              <w:tc>
                <w:tcPr>
                  <w:tcW w:w="890"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w:t>
                  </w:r>
                </w:p>
              </w:tc>
              <w:tc>
                <w:tcPr>
                  <w:tcW w:w="1167" w:type="dxa"/>
                  <w:vMerge w:val="restart"/>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701" w:type="dxa"/>
                  <w:vMerge w:val="restart"/>
                  <w:tcBorders>
                    <w:tl2br w:val="nil"/>
                    <w:tr2bl w:val="nil"/>
                  </w:tcBorders>
                  <w:vAlign w:val="center"/>
                </w:tcPr>
                <w:p>
                  <w:pPr>
                    <w:pStyle w:val="2"/>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10" w:type="dxa"/>
                  <w:vMerge w:val="continue"/>
                  <w:tcBorders>
                    <w:tl2br w:val="nil"/>
                    <w:tr2bl w:val="nil"/>
                  </w:tcBorders>
                  <w:vAlign w:val="center"/>
                </w:tcPr>
                <w:p>
                  <w:pPr>
                    <w:pStyle w:val="2"/>
                    <w:jc w:val="center"/>
                  </w:pPr>
                </w:p>
              </w:tc>
              <w:tc>
                <w:tcPr>
                  <w:tcW w:w="1335" w:type="dxa"/>
                  <w:tcBorders>
                    <w:tl2br w:val="nil"/>
                    <w:tr2bl w:val="nil"/>
                  </w:tcBorders>
                  <w:vAlign w:val="center"/>
                </w:tcPr>
                <w:p>
                  <w:pPr>
                    <w:pStyle w:val="2"/>
                    <w:jc w:val="center"/>
                  </w:pPr>
                  <w:r>
                    <w:rPr>
                      <w:rFonts w:hint="eastAsia" w:ascii="Times New Roman" w:hAnsi="Times New Roman" w:cs="Times New Roman"/>
                      <w:sz w:val="21"/>
                      <w:szCs w:val="21"/>
                    </w:rPr>
                    <w:t>公厕门口外1m</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13</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15</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19</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w:t>
                  </w:r>
                </w:p>
              </w:tc>
              <w:tc>
                <w:tcPr>
                  <w:tcW w:w="887"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17</w:t>
                  </w:r>
                </w:p>
              </w:tc>
              <w:tc>
                <w:tcPr>
                  <w:tcW w:w="890" w:type="dxa"/>
                  <w:tcBorders>
                    <w:tl2br w:val="nil"/>
                    <w:tr2bl w:val="nil"/>
                  </w:tcBorders>
                  <w:vAlign w:val="center"/>
                </w:tcPr>
                <w:p>
                  <w:pPr>
                    <w:pStyle w:val="2"/>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16</w:t>
                  </w:r>
                </w:p>
              </w:tc>
              <w:tc>
                <w:tcPr>
                  <w:tcW w:w="1167" w:type="dxa"/>
                  <w:vMerge w:val="continue"/>
                  <w:tcBorders>
                    <w:tl2br w:val="nil"/>
                    <w:tr2bl w:val="nil"/>
                  </w:tcBorders>
                  <w:vAlign w:val="center"/>
                </w:tcPr>
                <w:p>
                  <w:pPr>
                    <w:pStyle w:val="2"/>
                    <w:jc w:val="center"/>
                    <w:rPr>
                      <w:rFonts w:ascii="Times New Roman" w:hAnsi="Times New Roman" w:cs="Times New Roman"/>
                      <w:color w:val="000000" w:themeColor="text1"/>
                      <w:sz w:val="21"/>
                      <w:szCs w:val="21"/>
                    </w:rPr>
                  </w:pPr>
                </w:p>
              </w:tc>
              <w:tc>
                <w:tcPr>
                  <w:tcW w:w="701" w:type="dxa"/>
                  <w:vMerge w:val="continue"/>
                  <w:tcBorders>
                    <w:tl2br w:val="nil"/>
                    <w:tr2bl w:val="nil"/>
                  </w:tcBorders>
                  <w:vAlign w:val="center"/>
                </w:tcPr>
                <w:p>
                  <w:pPr>
                    <w:pStyle w:val="2"/>
                    <w:jc w:val="center"/>
                    <w:rPr>
                      <w:rFonts w:ascii="Times New Roman" w:hAnsi="Times New Roman" w:cs="Times New Roman"/>
                      <w:color w:val="000000" w:themeColor="text1"/>
                      <w:sz w:val="21"/>
                      <w:szCs w:val="21"/>
                    </w:rPr>
                  </w:pPr>
                </w:p>
              </w:tc>
            </w:tr>
          </w:tbl>
          <w:p>
            <w:pPr>
              <w:widowControl/>
              <w:spacing w:line="120" w:lineRule="auto"/>
              <w:jc w:val="left"/>
              <w:rPr>
                <w:rFonts w:ascii="Times New Roman" w:hAnsi="Times New Roman" w:eastAsia="宋体"/>
                <w:b/>
                <w:bCs/>
                <w:color w:val="000000" w:themeColor="text1"/>
                <w:sz w:val="24"/>
                <w:szCs w:val="24"/>
              </w:rPr>
            </w:pPr>
          </w:p>
          <w:p>
            <w:pPr>
              <w:widowControl/>
              <w:spacing w:line="120" w:lineRule="auto"/>
              <w:jc w:val="center"/>
              <w:rPr>
                <w:rFonts w:ascii="Times New Roman" w:hAnsi="Times New Roman" w:eastAsia="宋体"/>
                <w:b/>
                <w:bCs/>
                <w:color w:val="000000" w:themeColor="text1"/>
                <w:sz w:val="24"/>
                <w:szCs w:val="24"/>
              </w:rPr>
            </w:pPr>
          </w:p>
          <w:p>
            <w:pPr>
              <w:widowControl/>
              <w:spacing w:line="280" w:lineRule="exact"/>
              <w:jc w:val="center"/>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表7-</w:t>
            </w:r>
            <w:r>
              <w:rPr>
                <w:rFonts w:hint="eastAsia" w:ascii="Times New Roman" w:hAnsi="Times New Roman" w:eastAsia="宋体"/>
                <w:b/>
                <w:bCs/>
                <w:color w:val="000000" w:themeColor="text1"/>
                <w:sz w:val="24"/>
                <w:szCs w:val="24"/>
              </w:rPr>
              <w:t>3</w:t>
            </w:r>
            <w:r>
              <w:rPr>
                <w:rFonts w:ascii="Times New Roman" w:hAnsi="Times New Roman" w:eastAsia="宋体"/>
                <w:b/>
                <w:bCs/>
                <w:color w:val="000000" w:themeColor="text1"/>
                <w:sz w:val="24"/>
                <w:szCs w:val="24"/>
              </w:rPr>
              <w:t xml:space="preserve"> 监测期间气象参数情况</w:t>
            </w:r>
          </w:p>
          <w:tbl>
            <w:tblPr>
              <w:tblStyle w:val="13"/>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606"/>
              <w:gridCol w:w="1606"/>
              <w:gridCol w:w="1606"/>
              <w:gridCol w:w="16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tcBorders>
                    <w:left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监测日期</w:t>
                  </w: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w:t>
                  </w:r>
                  <w:r>
                    <w:rPr>
                      <w:rFonts w:hint="eastAsia" w:ascii="Times New Roman" w:hAnsi="Times New Roman" w:cs="Times New Roman"/>
                      <w:sz w:val="21"/>
                      <w:szCs w:val="21"/>
                    </w:rPr>
                    <w:t>时间</w:t>
                  </w: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风向</w:t>
                  </w: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风速</w:t>
                  </w:r>
                  <w:r>
                    <w:rPr>
                      <w:rFonts w:hint="eastAsia" w:ascii="Times New Roman" w:hAnsi="Times New Roman" w:cs="Times New Roman"/>
                      <w:sz w:val="21"/>
                      <w:szCs w:val="21"/>
                    </w:rPr>
                    <w:t>（</w:t>
                  </w:r>
                  <w:r>
                    <w:rPr>
                      <w:rFonts w:ascii="Times New Roman" w:hAnsi="Times New Roman" w:cs="Times New Roman"/>
                      <w:sz w:val="21"/>
                      <w:szCs w:val="21"/>
                    </w:rPr>
                    <w:t>m/s</w:t>
                  </w:r>
                  <w:r>
                    <w:rPr>
                      <w:rFonts w:hint="eastAsia" w:ascii="Times New Roman" w:hAnsi="Times New Roman" w:cs="Times New Roman"/>
                      <w:sz w:val="21"/>
                      <w:szCs w:val="21"/>
                    </w:rPr>
                    <w:t>）</w:t>
                  </w: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气温</w:t>
                  </w: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c>
                <w:tcPr>
                  <w:tcW w:w="1607" w:type="dxa"/>
                  <w:tcBorders>
                    <w:right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气压（kpa）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vMerge w:val="restart"/>
                  <w:tcBorders>
                    <w:left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第一次</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32.5</w:t>
                  </w:r>
                </w:p>
              </w:tc>
              <w:tc>
                <w:tcPr>
                  <w:tcW w:w="1607" w:type="dxa"/>
                  <w:tcBorders>
                    <w:right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vMerge w:val="continue"/>
                  <w:tcBorders>
                    <w:left w:val="nil"/>
                  </w:tcBorders>
                  <w:vAlign w:val="center"/>
                </w:tcPr>
                <w:p>
                  <w:pPr>
                    <w:pStyle w:val="2"/>
                    <w:jc w:val="center"/>
                    <w:rPr>
                      <w:rFonts w:ascii="Times New Roman" w:hAnsi="Times New Roman" w:cs="Times New Roman"/>
                      <w:sz w:val="21"/>
                      <w:szCs w:val="21"/>
                    </w:rPr>
                  </w:pP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第二次</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0.8</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33.3</w:t>
                  </w:r>
                </w:p>
              </w:tc>
              <w:tc>
                <w:tcPr>
                  <w:tcW w:w="1607" w:type="dxa"/>
                  <w:tcBorders>
                    <w:right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vMerge w:val="continue"/>
                  <w:tcBorders>
                    <w:left w:val="nil"/>
                  </w:tcBorders>
                  <w:vAlign w:val="center"/>
                </w:tcPr>
                <w:p>
                  <w:pPr>
                    <w:pStyle w:val="2"/>
                    <w:jc w:val="center"/>
                    <w:rPr>
                      <w:rFonts w:ascii="Times New Roman" w:hAnsi="Times New Roman" w:cs="Times New Roman"/>
                      <w:sz w:val="21"/>
                      <w:szCs w:val="21"/>
                    </w:rPr>
                  </w:pP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第三次</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0.9</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34.1</w:t>
                  </w:r>
                </w:p>
              </w:tc>
              <w:tc>
                <w:tcPr>
                  <w:tcW w:w="1607" w:type="dxa"/>
                  <w:tcBorders>
                    <w:right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vMerge w:val="restart"/>
                  <w:tcBorders>
                    <w:left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第一次</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1.1</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29.9</w:t>
                  </w:r>
                </w:p>
              </w:tc>
              <w:tc>
                <w:tcPr>
                  <w:tcW w:w="1607" w:type="dxa"/>
                  <w:tcBorders>
                    <w:right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vMerge w:val="continue"/>
                  <w:tcBorders>
                    <w:left w:val="nil"/>
                  </w:tcBorders>
                  <w:vAlign w:val="center"/>
                </w:tcPr>
                <w:p>
                  <w:pPr>
                    <w:pStyle w:val="2"/>
                    <w:jc w:val="center"/>
                    <w:rPr>
                      <w:rFonts w:ascii="Times New Roman" w:hAnsi="Times New Roman" w:cs="Times New Roman"/>
                      <w:sz w:val="21"/>
                      <w:szCs w:val="21"/>
                    </w:rPr>
                  </w:pP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第二次</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30.4</w:t>
                  </w:r>
                </w:p>
              </w:tc>
              <w:tc>
                <w:tcPr>
                  <w:tcW w:w="1607" w:type="dxa"/>
                  <w:tcBorders>
                    <w:right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07" w:type="dxa"/>
                  <w:vMerge w:val="continue"/>
                  <w:tcBorders>
                    <w:left w:val="nil"/>
                  </w:tcBorders>
                  <w:vAlign w:val="center"/>
                </w:tcPr>
                <w:p>
                  <w:pPr>
                    <w:pStyle w:val="2"/>
                    <w:jc w:val="center"/>
                    <w:rPr>
                      <w:rFonts w:ascii="Times New Roman" w:hAnsi="Times New Roman" w:cs="Times New Roman"/>
                      <w:sz w:val="21"/>
                      <w:szCs w:val="21"/>
                    </w:rPr>
                  </w:pPr>
                </w:p>
              </w:tc>
              <w:tc>
                <w:tcPr>
                  <w:tcW w:w="1606" w:type="dxa"/>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第三次</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0.8</w:t>
                  </w:r>
                </w:p>
              </w:tc>
              <w:tc>
                <w:tcPr>
                  <w:tcW w:w="1606" w:type="dxa"/>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31.5</w:t>
                  </w:r>
                </w:p>
              </w:tc>
              <w:tc>
                <w:tcPr>
                  <w:tcW w:w="1607" w:type="dxa"/>
                  <w:tcBorders>
                    <w:right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93.6</w:t>
                  </w:r>
                </w:p>
              </w:tc>
            </w:tr>
          </w:tbl>
          <w:p>
            <w:pPr>
              <w:widowControl w:val="0"/>
              <w:spacing w:beforeLines="20" w:line="120" w:lineRule="auto"/>
              <w:ind w:firstLine="480" w:firstLineChars="200"/>
              <w:jc w:val="both"/>
              <w:rPr>
                <w:rStyle w:val="20"/>
                <w:rFonts w:hint="default" w:ascii="Times New Roman" w:hAnsi="Times New Roman"/>
                <w:color w:val="000000" w:themeColor="text1"/>
              </w:rPr>
            </w:pPr>
          </w:p>
          <w:p>
            <w:pPr>
              <w:widowControl w:val="0"/>
              <w:spacing w:beforeLines="2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经监测，</w:t>
            </w:r>
            <w:r>
              <w:rPr>
                <w:rFonts w:hint="eastAsia" w:ascii="Times New Roman" w:hAnsi="Times New Roman" w:eastAsia="宋体"/>
                <w:sz w:val="24"/>
                <w:szCs w:val="24"/>
              </w:rPr>
              <w:t>项目垃圾收集点外1m、公厕门口外1m所测的臭气浓度的</w:t>
            </w:r>
            <w:r>
              <w:rPr>
                <w:rFonts w:ascii="Times New Roman" w:hAnsi="Times New Roman" w:eastAsia="宋体"/>
                <w:sz w:val="24"/>
                <w:szCs w:val="24"/>
              </w:rPr>
              <w:t>监测结果</w:t>
            </w:r>
            <w:r>
              <w:rPr>
                <w:rFonts w:hint="eastAsia" w:ascii="Times New Roman" w:hAnsi="Times New Roman" w:eastAsia="宋体"/>
                <w:sz w:val="24"/>
                <w:szCs w:val="24"/>
              </w:rPr>
              <w:t>均</w:t>
            </w:r>
            <w:r>
              <w:rPr>
                <w:rFonts w:ascii="Times New Roman" w:hAnsi="Times New Roman" w:eastAsia="宋体"/>
                <w:sz w:val="24"/>
                <w:szCs w:val="24"/>
              </w:rPr>
              <w:t>满足</w:t>
            </w:r>
            <w:r>
              <w:rPr>
                <w:rFonts w:hint="eastAsia" w:ascii="Times New Roman" w:hAnsi="Times New Roman" w:eastAsia="宋体"/>
                <w:sz w:val="24"/>
                <w:szCs w:val="24"/>
              </w:rPr>
              <w:t>《恶臭污染物排放标准》（GB14554-93）表1排放标准的要求。</w:t>
            </w:r>
          </w:p>
          <w:p>
            <w:pPr>
              <w:widowControl w:val="0"/>
              <w:spacing w:beforeLines="20"/>
              <w:ind w:firstLine="480" w:firstLineChars="200"/>
              <w:jc w:val="both"/>
              <w:rPr>
                <w:rFonts w:ascii="Times New Roman" w:hAnsi="Times New Roman" w:eastAsia="宋体"/>
                <w:color w:val="000000"/>
                <w:sz w:val="24"/>
                <w:szCs w:val="24"/>
              </w:rPr>
            </w:pPr>
          </w:p>
          <w:p>
            <w:pPr>
              <w:widowControl w:val="0"/>
              <w:spacing w:beforeLines="20"/>
              <w:ind w:firstLine="480" w:firstLineChars="200"/>
              <w:jc w:val="both"/>
              <w:rPr>
                <w:rFonts w:ascii="Times New Roman" w:hAnsi="Times New Roman" w:eastAsia="宋体"/>
                <w:color w:val="000000"/>
                <w:sz w:val="24"/>
                <w:szCs w:val="24"/>
              </w:rPr>
            </w:pPr>
          </w:p>
          <w:p>
            <w:pPr>
              <w:widowControl w:val="0"/>
              <w:spacing w:beforeLines="20"/>
              <w:ind w:firstLine="480" w:firstLineChars="200"/>
              <w:jc w:val="both"/>
              <w:rPr>
                <w:rFonts w:ascii="Times New Roman" w:hAnsi="Times New Roman" w:eastAsia="宋体"/>
                <w:color w:val="000000"/>
                <w:sz w:val="24"/>
                <w:szCs w:val="24"/>
              </w:rPr>
            </w:pPr>
          </w:p>
          <w:p>
            <w:pPr>
              <w:widowControl w:val="0"/>
              <w:spacing w:beforeLines="20"/>
              <w:ind w:firstLine="480" w:firstLineChars="200"/>
              <w:jc w:val="both"/>
              <w:rPr>
                <w:rFonts w:ascii="Times New Roman" w:hAnsi="Times New Roman" w:eastAsia="宋体"/>
                <w:color w:val="000000"/>
                <w:sz w:val="24"/>
                <w:szCs w:val="24"/>
              </w:rPr>
            </w:pPr>
          </w:p>
          <w:p>
            <w:pPr>
              <w:widowControl w:val="0"/>
              <w:spacing w:beforeLines="20"/>
              <w:ind w:firstLine="480" w:firstLineChars="200"/>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pStyle w:val="2"/>
              <w:jc w:val="both"/>
              <w:rPr>
                <w:rFonts w:ascii="Times New Roman" w:hAnsi="Times New Roman" w:eastAsia="宋体"/>
                <w:color w:val="000000"/>
                <w:sz w:val="24"/>
                <w:szCs w:val="24"/>
              </w:rPr>
            </w:pPr>
          </w:p>
          <w:p>
            <w:pPr>
              <w:widowControl w:val="0"/>
              <w:spacing w:beforeLines="20"/>
              <w:ind w:firstLine="480" w:firstLineChars="200"/>
              <w:jc w:val="both"/>
              <w:rPr>
                <w:rFonts w:ascii="Times New Roman" w:hAnsi="Times New Roman" w:eastAsia="宋体"/>
                <w:color w:val="000000"/>
                <w:sz w:val="24"/>
                <w:szCs w:val="24"/>
              </w:rPr>
            </w:pPr>
          </w:p>
          <w:p>
            <w:pPr>
              <w:widowControl w:val="0"/>
              <w:spacing w:beforeLines="20"/>
              <w:ind w:firstLine="480" w:firstLineChars="200"/>
              <w:jc w:val="both"/>
              <w:rPr>
                <w:rFonts w:ascii="Times New Roman" w:hAnsi="Times New Roman" w:eastAsia="宋体"/>
                <w:color w:val="000000"/>
                <w:sz w:val="24"/>
                <w:szCs w:val="24"/>
              </w:rPr>
            </w:pPr>
          </w:p>
          <w:p>
            <w:pPr>
              <w:widowControl w:val="0"/>
              <w:spacing w:beforeLines="20"/>
              <w:ind w:firstLine="480" w:firstLineChars="200"/>
              <w:jc w:val="both"/>
            </w:pPr>
            <w:r>
              <w:rPr>
                <w:rFonts w:hint="eastAsia" w:ascii="Times New Roman" w:hAnsi="Times New Roman" w:eastAsia="宋体"/>
                <w:color w:val="000000"/>
                <w:sz w:val="24"/>
                <w:szCs w:val="24"/>
              </w:rPr>
              <w:t>2.3噪声监测结果见表7-4。</w:t>
            </w:r>
          </w:p>
          <w:p>
            <w:pPr>
              <w:widowControl/>
              <w:jc w:val="center"/>
              <w:rPr>
                <w:rFonts w:ascii="Times New Roman" w:hAnsi="Times New Roman" w:eastAsia="宋体"/>
                <w:b/>
                <w:bCs/>
                <w:color w:val="000000"/>
                <w:sz w:val="24"/>
                <w:szCs w:val="24"/>
              </w:rPr>
            </w:pPr>
            <w:r>
              <w:rPr>
                <w:rFonts w:ascii="Times New Roman" w:hAnsi="Times New Roman" w:eastAsia="宋体"/>
                <w:b/>
                <w:bCs/>
                <w:color w:val="000000"/>
                <w:sz w:val="24"/>
                <w:szCs w:val="24"/>
              </w:rPr>
              <w:t>表</w:t>
            </w:r>
            <w:r>
              <w:rPr>
                <w:rFonts w:hint="eastAsia" w:ascii="Times New Roman" w:hAnsi="Times New Roman" w:eastAsia="宋体"/>
                <w:b/>
                <w:bCs/>
                <w:color w:val="000000"/>
                <w:sz w:val="24"/>
                <w:szCs w:val="24"/>
              </w:rPr>
              <w:t>7</w:t>
            </w:r>
            <w:r>
              <w:rPr>
                <w:rFonts w:ascii="Times New Roman" w:hAnsi="Times New Roman" w:eastAsia="宋体"/>
                <w:b/>
                <w:bCs/>
                <w:color w:val="000000"/>
                <w:sz w:val="24"/>
                <w:szCs w:val="24"/>
              </w:rPr>
              <w:t>-</w:t>
            </w:r>
            <w:r>
              <w:rPr>
                <w:rFonts w:hint="eastAsia" w:ascii="Times New Roman" w:hAnsi="Times New Roman" w:eastAsia="宋体"/>
                <w:b/>
                <w:bCs/>
                <w:color w:val="000000"/>
                <w:sz w:val="24"/>
                <w:szCs w:val="24"/>
              </w:rPr>
              <w:t>4</w:t>
            </w:r>
            <w:r>
              <w:rPr>
                <w:rFonts w:ascii="Times New Roman" w:hAnsi="Times New Roman" w:eastAsia="宋体"/>
                <w:b/>
                <w:bCs/>
                <w:color w:val="000000"/>
                <w:sz w:val="24"/>
                <w:szCs w:val="24"/>
              </w:rPr>
              <w:t>噪声监测结果</w:t>
            </w:r>
          </w:p>
          <w:tbl>
            <w:tblPr>
              <w:tblStyle w:val="12"/>
              <w:tblW w:w="96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1318"/>
              <w:gridCol w:w="1610"/>
              <w:gridCol w:w="1610"/>
              <w:gridCol w:w="1764"/>
              <w:gridCol w:w="11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2147"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监测位置</w:t>
                  </w:r>
                </w:p>
              </w:tc>
              <w:tc>
                <w:tcPr>
                  <w:tcW w:w="1318"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时段</w:t>
                  </w:r>
                </w:p>
              </w:tc>
              <w:tc>
                <w:tcPr>
                  <w:tcW w:w="3220" w:type="dxa"/>
                  <w:gridSpan w:val="2"/>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等级声级Leq，dB（A）</w:t>
                  </w:r>
                </w:p>
              </w:tc>
              <w:tc>
                <w:tcPr>
                  <w:tcW w:w="1764"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评价标准</w:t>
                  </w:r>
                </w:p>
              </w:tc>
              <w:tc>
                <w:tcPr>
                  <w:tcW w:w="1189"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是否</w:t>
                  </w:r>
                </w:p>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2147"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318"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9-9-28</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201</w:t>
                  </w:r>
                  <w:r>
                    <w:rPr>
                      <w:rFonts w:hint="eastAsia" w:ascii="Times New Roman" w:hAnsi="Times New Roman" w:cs="Times New Roman"/>
                      <w:sz w:val="21"/>
                      <w:szCs w:val="21"/>
                    </w:rPr>
                    <w:t>9-9-29</w:t>
                  </w:r>
                </w:p>
              </w:tc>
              <w:tc>
                <w:tcPr>
                  <w:tcW w:w="1764" w:type="dxa"/>
                  <w:vMerge w:val="continue"/>
                  <w:tcBorders>
                    <w:tl2br w:val="nil"/>
                    <w:tr2bl w:val="nil"/>
                  </w:tcBorders>
                  <w:vAlign w:val="center"/>
                </w:tcPr>
                <w:p>
                  <w:pPr>
                    <w:pStyle w:val="2"/>
                    <w:jc w:val="center"/>
                    <w:rPr>
                      <w:rFonts w:ascii="Times New Roman" w:hAnsi="Times New Roman" w:cs="Times New Roman"/>
                      <w:sz w:val="21"/>
                      <w:szCs w:val="21"/>
                    </w:rPr>
                  </w:pPr>
                </w:p>
              </w:tc>
              <w:tc>
                <w:tcPr>
                  <w:tcW w:w="1189"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厂界外</w:t>
                  </w:r>
                  <w:r>
                    <w:rPr>
                      <w:rFonts w:ascii="Times New Roman" w:hAnsi="Times New Roman" w:cs="Times New Roman"/>
                      <w:sz w:val="21"/>
                      <w:szCs w:val="21"/>
                    </w:rPr>
                    <w:t>东侧1m处</w:t>
                  </w: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昼间</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55.3</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55.1</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1189"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continue"/>
                  <w:tcBorders>
                    <w:tl2br w:val="nil"/>
                    <w:tr2bl w:val="nil"/>
                  </w:tcBorders>
                  <w:vAlign w:val="center"/>
                </w:tcPr>
                <w:p>
                  <w:pPr>
                    <w:pStyle w:val="2"/>
                    <w:jc w:val="center"/>
                  </w:pP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夜间</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44.7</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42.6</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50</w:t>
                  </w:r>
                </w:p>
              </w:tc>
              <w:tc>
                <w:tcPr>
                  <w:tcW w:w="1189"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w:t>
                  </w:r>
                  <w:r>
                    <w:rPr>
                      <w:rFonts w:ascii="Times New Roman" w:hAnsi="Times New Roman" w:cs="Times New Roman"/>
                      <w:sz w:val="21"/>
                      <w:szCs w:val="21"/>
                    </w:rPr>
                    <w:t>外南侧1m处</w:t>
                  </w: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昼间</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50.4</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49.3</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1189"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continue"/>
                  <w:tcBorders>
                    <w:tl2br w:val="nil"/>
                    <w:tr2bl w:val="nil"/>
                  </w:tcBorders>
                  <w:vAlign w:val="center"/>
                </w:tcPr>
                <w:p>
                  <w:pPr>
                    <w:pStyle w:val="2"/>
                    <w:jc w:val="center"/>
                  </w:pP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夜间</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43.5</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42.2</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50</w:t>
                  </w:r>
                </w:p>
              </w:tc>
              <w:tc>
                <w:tcPr>
                  <w:tcW w:w="1189"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w:t>
                  </w:r>
                  <w:r>
                    <w:rPr>
                      <w:rFonts w:ascii="Times New Roman" w:hAnsi="Times New Roman" w:cs="Times New Roman"/>
                      <w:sz w:val="21"/>
                      <w:szCs w:val="21"/>
                    </w:rPr>
                    <w:t>外西侧1m处</w:t>
                  </w: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昼间</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55.9</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56.9</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1189"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continue"/>
                  <w:tcBorders>
                    <w:tl2br w:val="nil"/>
                    <w:tr2bl w:val="nil"/>
                  </w:tcBorders>
                  <w:vAlign w:val="center"/>
                </w:tcPr>
                <w:p>
                  <w:pPr>
                    <w:pStyle w:val="2"/>
                    <w:jc w:val="center"/>
                  </w:pP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夜间</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46.6</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46.7</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50</w:t>
                  </w:r>
                </w:p>
              </w:tc>
              <w:tc>
                <w:tcPr>
                  <w:tcW w:w="1189" w:type="dxa"/>
                  <w:vMerge w:val="continue"/>
                  <w:tcBorders>
                    <w:tl2br w:val="nil"/>
                    <w:tr2bl w:val="nil"/>
                  </w:tcBorders>
                  <w:vAlign w:val="center"/>
                </w:tcPr>
                <w:p>
                  <w:pPr>
                    <w:pStyle w:val="2"/>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restart"/>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厂界</w:t>
                  </w:r>
                  <w:r>
                    <w:rPr>
                      <w:rFonts w:ascii="Times New Roman" w:hAnsi="Times New Roman" w:cs="Times New Roman"/>
                      <w:sz w:val="21"/>
                      <w:szCs w:val="21"/>
                    </w:rPr>
                    <w:t>外北侧1m处</w:t>
                  </w: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昼间</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58.6</w:t>
                  </w:r>
                </w:p>
              </w:tc>
              <w:tc>
                <w:tcPr>
                  <w:tcW w:w="161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58.3</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1189" w:type="dxa"/>
                  <w:vMerge w:val="restart"/>
                  <w:tcBorders>
                    <w:tl2br w:val="nil"/>
                    <w:tr2bl w:val="nil"/>
                  </w:tcBorders>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7" w:type="dxa"/>
                  <w:vMerge w:val="continue"/>
                  <w:tcBorders>
                    <w:tl2br w:val="nil"/>
                    <w:tr2bl w:val="nil"/>
                  </w:tcBorders>
                  <w:vAlign w:val="center"/>
                </w:tcPr>
                <w:p>
                  <w:pPr>
                    <w:pStyle w:val="2"/>
                    <w:jc w:val="center"/>
                  </w:pPr>
                </w:p>
              </w:tc>
              <w:tc>
                <w:tcPr>
                  <w:tcW w:w="1318"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夜间</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47.7</w:t>
                  </w:r>
                </w:p>
              </w:tc>
              <w:tc>
                <w:tcPr>
                  <w:tcW w:w="1610"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48.5</w:t>
                  </w:r>
                </w:p>
              </w:tc>
              <w:tc>
                <w:tcPr>
                  <w:tcW w:w="1764" w:type="dxa"/>
                  <w:tcBorders>
                    <w:tl2br w:val="nil"/>
                    <w:tr2bl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50</w:t>
                  </w:r>
                </w:p>
              </w:tc>
              <w:tc>
                <w:tcPr>
                  <w:tcW w:w="1189" w:type="dxa"/>
                  <w:vMerge w:val="continue"/>
                  <w:tcBorders>
                    <w:tl2br w:val="nil"/>
                    <w:tr2bl w:val="nil"/>
                  </w:tcBorders>
                  <w:vAlign w:val="center"/>
                </w:tcPr>
                <w:p>
                  <w:pPr>
                    <w:pStyle w:val="2"/>
                    <w:jc w:val="center"/>
                    <w:rPr>
                      <w:rFonts w:ascii="Times New Roman" w:hAnsi="Times New Roman" w:cs="Times New Roman"/>
                      <w:sz w:val="21"/>
                      <w:szCs w:val="21"/>
                    </w:rPr>
                  </w:pPr>
                </w:p>
              </w:tc>
            </w:tr>
          </w:tbl>
          <w:p>
            <w:pPr>
              <w:pStyle w:val="2"/>
              <w:jc w:val="both"/>
              <w:rPr>
                <w:color w:val="FF0000"/>
              </w:rPr>
            </w:pPr>
          </w:p>
          <w:p>
            <w:pPr>
              <w:widowControl w:val="0"/>
              <w:spacing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经监测，</w:t>
            </w:r>
            <w:r>
              <w:rPr>
                <w:rFonts w:hint="eastAsia" w:ascii="Times New Roman" w:hAnsi="Times New Roman" w:eastAsia="宋体"/>
                <w:sz w:val="24"/>
                <w:szCs w:val="24"/>
              </w:rPr>
              <w:t>夜</w:t>
            </w:r>
            <w:r>
              <w:rPr>
                <w:rFonts w:ascii="Times New Roman" w:hAnsi="Times New Roman" w:eastAsia="宋体"/>
                <w:sz w:val="24"/>
                <w:szCs w:val="24"/>
              </w:rPr>
              <w:t>间噪声最小监测值为</w:t>
            </w:r>
            <w:r>
              <w:rPr>
                <w:rFonts w:hint="eastAsia" w:ascii="Times New Roman" w:hAnsi="Times New Roman" w:eastAsia="宋体"/>
                <w:sz w:val="24"/>
                <w:szCs w:val="24"/>
              </w:rPr>
              <w:t>42.2</w:t>
            </w:r>
            <w:r>
              <w:rPr>
                <w:rFonts w:ascii="Times New Roman" w:hAnsi="Times New Roman" w:eastAsia="宋体"/>
                <w:sz w:val="24"/>
                <w:szCs w:val="24"/>
              </w:rPr>
              <w:t>dB(A)、最大监测值为</w:t>
            </w:r>
            <w:r>
              <w:rPr>
                <w:rFonts w:hint="eastAsia" w:ascii="Times New Roman" w:hAnsi="Times New Roman" w:eastAsia="宋体"/>
                <w:sz w:val="24"/>
                <w:szCs w:val="24"/>
              </w:rPr>
              <w:t>48.5</w:t>
            </w:r>
            <w:r>
              <w:rPr>
                <w:rFonts w:ascii="Times New Roman" w:hAnsi="Times New Roman" w:eastAsia="宋体"/>
                <w:sz w:val="24"/>
                <w:szCs w:val="24"/>
              </w:rPr>
              <w:t>dB(A)，昼间噪声最小监测值为</w:t>
            </w:r>
            <w:r>
              <w:rPr>
                <w:rFonts w:hint="eastAsia" w:ascii="Times New Roman" w:hAnsi="Times New Roman" w:eastAsia="宋体"/>
                <w:sz w:val="24"/>
                <w:szCs w:val="24"/>
              </w:rPr>
              <w:t>49.3</w:t>
            </w:r>
            <w:r>
              <w:rPr>
                <w:rFonts w:ascii="Times New Roman" w:hAnsi="Times New Roman" w:eastAsia="宋体"/>
                <w:sz w:val="24"/>
                <w:szCs w:val="24"/>
              </w:rPr>
              <w:t>dB(A)、最大监测值为</w:t>
            </w:r>
            <w:r>
              <w:rPr>
                <w:rFonts w:hint="eastAsia" w:ascii="Times New Roman" w:hAnsi="Times New Roman" w:eastAsia="宋体"/>
                <w:sz w:val="24"/>
                <w:szCs w:val="24"/>
              </w:rPr>
              <w:t>58.6</w:t>
            </w:r>
            <w:r>
              <w:rPr>
                <w:rFonts w:ascii="Times New Roman" w:hAnsi="Times New Roman" w:eastAsia="宋体"/>
                <w:sz w:val="24"/>
                <w:szCs w:val="24"/>
              </w:rPr>
              <w:t>dB(A)，满足《</w:t>
            </w:r>
            <w:r>
              <w:rPr>
                <w:rFonts w:hint="eastAsia" w:ascii="Times New Roman" w:hAnsi="Times New Roman" w:eastAsia="宋体"/>
                <w:sz w:val="24"/>
                <w:szCs w:val="24"/>
              </w:rPr>
              <w:t>工业企业厂界</w:t>
            </w:r>
            <w:r>
              <w:rPr>
                <w:rFonts w:ascii="Times New Roman" w:hAnsi="Times New Roman" w:eastAsia="宋体"/>
                <w:sz w:val="24"/>
                <w:szCs w:val="24"/>
              </w:rPr>
              <w:t>环境噪声排放标准》（GB</w:t>
            </w:r>
            <w:r>
              <w:rPr>
                <w:rFonts w:hint="eastAsia" w:ascii="Times New Roman" w:hAnsi="Times New Roman" w:eastAsia="宋体"/>
                <w:sz w:val="24"/>
                <w:szCs w:val="24"/>
              </w:rPr>
              <w:t>12348</w:t>
            </w:r>
            <w:r>
              <w:rPr>
                <w:rFonts w:ascii="Times New Roman" w:hAnsi="Times New Roman" w:eastAsia="宋体"/>
                <w:sz w:val="24"/>
                <w:szCs w:val="24"/>
              </w:rPr>
              <w:t>-2008）中</w:t>
            </w:r>
            <w:r>
              <w:rPr>
                <w:rFonts w:hint="eastAsia" w:ascii="Times New Roman" w:hAnsi="Times New Roman" w:eastAsia="宋体"/>
                <w:sz w:val="24"/>
                <w:szCs w:val="24"/>
              </w:rPr>
              <w:t>2</w:t>
            </w:r>
            <w:r>
              <w:rPr>
                <w:rFonts w:ascii="Times New Roman" w:hAnsi="Times New Roman" w:eastAsia="宋体"/>
                <w:sz w:val="24"/>
                <w:szCs w:val="24"/>
              </w:rPr>
              <w:t>类标准的要求。</w:t>
            </w:r>
          </w:p>
        </w:tc>
      </w:tr>
    </w:tbl>
    <w:p>
      <w:pPr>
        <w:rPr>
          <w:rFonts w:eastAsia="仿宋_GB2312"/>
          <w:b/>
          <w:color w:val="000000"/>
          <w:sz w:val="32"/>
          <w:szCs w:val="32"/>
        </w:rPr>
      </w:pPr>
      <w:r>
        <w:rPr>
          <w:rFonts w:eastAsia="仿宋_GB2312"/>
          <w:b/>
          <w:color w:val="000000"/>
          <w:sz w:val="32"/>
          <w:szCs w:val="32"/>
        </w:rPr>
        <w:t>表</w:t>
      </w:r>
      <w:r>
        <w:rPr>
          <w:rFonts w:hint="eastAsia" w:eastAsia="仿宋_GB2312"/>
          <w:b/>
          <w:color w:val="000000"/>
          <w:sz w:val="32"/>
          <w:szCs w:val="32"/>
        </w:rPr>
        <w:t>八</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1" w:hRule="atLeast"/>
        </w:trPr>
        <w:tc>
          <w:tcPr>
            <w:tcW w:w="9854" w:type="dxa"/>
          </w:tcPr>
          <w:p>
            <w:pPr>
              <w:widowControl w:val="0"/>
              <w:spacing w:beforeLines="20"/>
              <w:jc w:val="both"/>
              <w:rPr>
                <w:rFonts w:hint="eastAsia" w:ascii="宋体" w:hAnsi="宋体" w:eastAsia="宋体"/>
                <w:b/>
                <w:bCs/>
                <w:color w:val="000000"/>
                <w:sz w:val="28"/>
                <w:szCs w:val="28"/>
              </w:rPr>
            </w:pPr>
            <w:r>
              <w:rPr>
                <w:rFonts w:hint="eastAsia" w:ascii="宋体" w:hAnsi="宋体" w:eastAsia="宋体"/>
                <w:b/>
                <w:bCs/>
                <w:color w:val="000000"/>
                <w:sz w:val="28"/>
                <w:szCs w:val="28"/>
              </w:rPr>
              <w:t>环保检查结果：</w:t>
            </w:r>
          </w:p>
          <w:p>
            <w:pPr>
              <w:pStyle w:val="2"/>
              <w:jc w:val="both"/>
            </w:pPr>
          </w:p>
          <w:p>
            <w:pPr>
              <w:widowControl w:val="0"/>
              <w:spacing w:line="120" w:lineRule="auto"/>
              <w:ind w:firstLine="480" w:firstLineChars="200"/>
              <w:jc w:val="both"/>
              <w:rPr>
                <w:rStyle w:val="20"/>
                <w:rFonts w:hint="default" w:asciiTheme="minorEastAsia" w:hAnsiTheme="minorEastAsia" w:eastAsiaTheme="minorEastAsia" w:cstheme="minorEastAsia"/>
              </w:rPr>
            </w:pPr>
            <w:r>
              <w:rPr>
                <w:rStyle w:val="20"/>
                <w:rFonts w:ascii="Times New Roman" w:hAnsi="Times New Roman"/>
              </w:rPr>
              <w:t>一、</w:t>
            </w:r>
            <w:r>
              <w:rPr>
                <w:rStyle w:val="20"/>
                <w:rFonts w:asciiTheme="minorEastAsia" w:hAnsiTheme="minorEastAsia" w:eastAsiaTheme="minorEastAsia" w:cstheme="minorEastAsia"/>
              </w:rPr>
              <w:t>环保审批手续及“三同时”执行情况</w:t>
            </w:r>
          </w:p>
          <w:p>
            <w:pPr>
              <w:widowControl w:val="0"/>
              <w:spacing w:line="360" w:lineRule="auto"/>
              <w:ind w:firstLine="480" w:firstLineChars="200"/>
              <w:jc w:val="both"/>
              <w:rPr>
                <w:rStyle w:val="20"/>
                <w:rFonts w:hint="default" w:asciiTheme="minorEastAsia" w:hAnsiTheme="minorEastAsia" w:eastAsiaTheme="minorEastAsia" w:cstheme="minorEastAsia"/>
              </w:rPr>
            </w:pPr>
            <w:r>
              <w:rPr>
                <w:rStyle w:val="20"/>
                <w:rFonts w:hint="default" w:ascii="Times New Roman" w:hAnsi="Times New Roman" w:eastAsiaTheme="minorEastAsia"/>
              </w:rPr>
              <w:t>本项目</w:t>
            </w:r>
            <w:r>
              <w:rPr>
                <w:rStyle w:val="20"/>
                <w:rFonts w:hint="default" w:ascii="Times New Roman" w:hAnsi="Times New Roman" w:eastAsiaTheme="minorEastAsia"/>
                <w:color w:val="auto"/>
              </w:rPr>
              <w:t>于</w:t>
            </w:r>
            <w:r>
              <w:rPr>
                <w:rStyle w:val="20"/>
                <w:rFonts w:ascii="Times New Roman" w:hAnsi="Times New Roman" w:eastAsiaTheme="minorEastAsia"/>
                <w:color w:val="auto"/>
              </w:rPr>
              <w:t>2014年12月</w:t>
            </w:r>
            <w:r>
              <w:rPr>
                <w:rStyle w:val="20"/>
                <w:rFonts w:hint="default" w:ascii="Times New Roman" w:hAnsi="Times New Roman" w:eastAsiaTheme="minorEastAsia"/>
                <w:color w:val="auto"/>
              </w:rPr>
              <w:t>由</w:t>
            </w:r>
            <w:r>
              <w:rPr>
                <w:rStyle w:val="20"/>
                <w:rFonts w:ascii="Times New Roman" w:hAnsi="Times New Roman" w:eastAsiaTheme="minorEastAsia"/>
                <w:color w:val="auto"/>
              </w:rPr>
              <w:t>广州市环境保护工程设计院有限公司</w:t>
            </w:r>
            <w:r>
              <w:rPr>
                <w:rStyle w:val="20"/>
                <w:rFonts w:hint="default" w:ascii="Times New Roman" w:hAnsi="Times New Roman" w:eastAsiaTheme="minorEastAsia"/>
              </w:rPr>
              <w:t>编制完成项目环境影响报告表，</w:t>
            </w:r>
            <w:r>
              <w:rPr>
                <w:rStyle w:val="20"/>
                <w:rFonts w:ascii="Times New Roman" w:hAnsi="Times New Roman" w:eastAsiaTheme="minorEastAsia"/>
              </w:rPr>
              <w:t>道真仡佬族苗族自治县环境保护局</w:t>
            </w:r>
            <w:r>
              <w:rPr>
                <w:rStyle w:val="20"/>
                <w:rFonts w:hint="default" w:ascii="Times New Roman" w:hAnsi="Times New Roman" w:eastAsiaTheme="minorEastAsia"/>
              </w:rPr>
              <w:t>于</w:t>
            </w:r>
            <w:r>
              <w:rPr>
                <w:rStyle w:val="20"/>
                <w:rFonts w:ascii="Times New Roman" w:hAnsi="Times New Roman" w:eastAsiaTheme="minorEastAsia"/>
              </w:rPr>
              <w:t>2014</w:t>
            </w:r>
            <w:r>
              <w:rPr>
                <w:rStyle w:val="20"/>
                <w:rFonts w:hint="default" w:ascii="Times New Roman" w:hAnsi="Times New Roman" w:eastAsiaTheme="minorEastAsia"/>
              </w:rPr>
              <w:t>年</w:t>
            </w:r>
            <w:r>
              <w:rPr>
                <w:rStyle w:val="20"/>
                <w:rFonts w:ascii="Times New Roman" w:hAnsi="Times New Roman" w:eastAsiaTheme="minorEastAsia"/>
              </w:rPr>
              <w:t>12</w:t>
            </w:r>
            <w:r>
              <w:rPr>
                <w:rStyle w:val="20"/>
                <w:rFonts w:hint="default" w:ascii="Times New Roman" w:hAnsi="Times New Roman" w:eastAsiaTheme="minorEastAsia"/>
              </w:rPr>
              <w:t>月</w:t>
            </w:r>
            <w:r>
              <w:rPr>
                <w:rStyle w:val="20"/>
                <w:rFonts w:ascii="Times New Roman" w:hAnsi="Times New Roman" w:eastAsiaTheme="minorEastAsia"/>
              </w:rPr>
              <w:t>22</w:t>
            </w:r>
            <w:r>
              <w:rPr>
                <w:rStyle w:val="20"/>
                <w:rFonts w:hint="default" w:ascii="Times New Roman" w:hAnsi="Times New Roman" w:eastAsiaTheme="minorEastAsia"/>
              </w:rPr>
              <w:t>日以</w:t>
            </w:r>
            <w:r>
              <w:rPr>
                <w:rStyle w:val="20"/>
                <w:rFonts w:ascii="Times New Roman" w:hAnsi="Times New Roman" w:eastAsiaTheme="minorEastAsia"/>
              </w:rPr>
              <w:t>“道环评复[2014]85号</w:t>
            </w:r>
            <w:r>
              <w:rPr>
                <w:rStyle w:val="20"/>
                <w:rFonts w:hint="default" w:ascii="Times New Roman" w:hAnsi="Times New Roman" w:eastAsiaTheme="minorEastAsia"/>
              </w:rPr>
              <w:t>文件</w:t>
            </w:r>
            <w:r>
              <w:rPr>
                <w:rStyle w:val="20"/>
                <w:rFonts w:ascii="Times New Roman" w:hAnsi="Times New Roman" w:eastAsiaTheme="minorEastAsia"/>
              </w:rPr>
              <w:t>”</w:t>
            </w:r>
            <w:r>
              <w:rPr>
                <w:rStyle w:val="20"/>
                <w:rFonts w:hint="default" w:ascii="Times New Roman" w:hAnsi="Times New Roman" w:eastAsiaTheme="minorEastAsia"/>
              </w:rPr>
              <w:t>对环评报告表进行了</w:t>
            </w:r>
            <w:r>
              <w:rPr>
                <w:rStyle w:val="20"/>
                <w:rFonts w:ascii="Times New Roman" w:hAnsi="Times New Roman" w:eastAsiaTheme="minorEastAsia"/>
              </w:rPr>
              <w:t>审批</w:t>
            </w:r>
            <w:r>
              <w:rPr>
                <w:rStyle w:val="20"/>
                <w:rFonts w:hint="default" w:ascii="Times New Roman" w:hAnsi="Times New Roman" w:eastAsiaTheme="minorEastAsia"/>
                <w:color w:val="auto"/>
              </w:rPr>
              <w:t>，</w:t>
            </w:r>
            <w:r>
              <w:rPr>
                <w:rStyle w:val="20"/>
                <w:rFonts w:ascii="Times New Roman" w:hAnsi="Times New Roman" w:eastAsiaTheme="minorEastAsia"/>
                <w:color w:val="auto"/>
              </w:rPr>
              <w:t>2014年12月办</w:t>
            </w:r>
            <w:r>
              <w:rPr>
                <w:rStyle w:val="20"/>
                <w:rFonts w:ascii="Times New Roman" w:hAnsi="Times New Roman" w:eastAsiaTheme="minorEastAsia"/>
              </w:rPr>
              <w:t>理</w:t>
            </w:r>
            <w:r>
              <w:rPr>
                <w:rStyle w:val="20"/>
                <w:rFonts w:hint="default" w:ascii="Times New Roman" w:hAnsi="Times New Roman" w:eastAsiaTheme="minorEastAsia"/>
              </w:rPr>
              <w:t>环评后企业按照环境影响报告表和</w:t>
            </w:r>
            <w:r>
              <w:rPr>
                <w:rStyle w:val="20"/>
                <w:rFonts w:ascii="Times New Roman" w:hAnsi="Times New Roman" w:eastAsiaTheme="minorEastAsia"/>
              </w:rPr>
              <w:t>审批意见</w:t>
            </w:r>
            <w:r>
              <w:rPr>
                <w:rStyle w:val="20"/>
                <w:rFonts w:hint="default" w:ascii="Times New Roman" w:hAnsi="Times New Roman" w:eastAsiaTheme="minorEastAsia"/>
              </w:rPr>
              <w:t>的要求落实各环保设施的建设</w:t>
            </w:r>
            <w:r>
              <w:rPr>
                <w:rStyle w:val="20"/>
                <w:rFonts w:ascii="Times New Roman" w:hAnsi="Times New Roman" w:eastAsiaTheme="minorEastAsia"/>
              </w:rPr>
              <w:t>，</w:t>
            </w:r>
            <w:r>
              <w:rPr>
                <w:rStyle w:val="20"/>
                <w:rFonts w:hint="default" w:ascii="Times New Roman" w:hAnsi="Times New Roman" w:eastAsiaTheme="minorEastAsia"/>
                <w:color w:val="auto"/>
              </w:rPr>
              <w:t>项目于</w:t>
            </w:r>
            <w:r>
              <w:rPr>
                <w:rStyle w:val="20"/>
                <w:rFonts w:ascii="Times New Roman" w:hAnsi="Times New Roman" w:eastAsiaTheme="minorEastAsia"/>
                <w:color w:val="auto"/>
              </w:rPr>
              <w:t>2015年4月</w:t>
            </w:r>
            <w:r>
              <w:rPr>
                <w:rStyle w:val="20"/>
                <w:rFonts w:hint="default" w:ascii="Times New Roman" w:hAnsi="Times New Roman" w:eastAsiaTheme="minorEastAsia"/>
                <w:color w:val="auto"/>
              </w:rPr>
              <w:t>开工建设，于</w:t>
            </w:r>
            <w:r>
              <w:rPr>
                <w:rStyle w:val="20"/>
                <w:rFonts w:ascii="Times New Roman" w:hAnsi="Times New Roman" w:eastAsiaTheme="minorEastAsia"/>
                <w:color w:val="auto"/>
              </w:rPr>
              <w:t>2017</w:t>
            </w:r>
            <w:r>
              <w:rPr>
                <w:rStyle w:val="20"/>
                <w:rFonts w:hint="default" w:ascii="Times New Roman" w:hAnsi="Times New Roman" w:eastAsiaTheme="minorEastAsia"/>
                <w:color w:val="auto"/>
              </w:rPr>
              <w:t>年</w:t>
            </w:r>
            <w:r>
              <w:rPr>
                <w:rStyle w:val="20"/>
                <w:rFonts w:ascii="Times New Roman" w:hAnsi="Times New Roman" w:eastAsiaTheme="minorEastAsia"/>
                <w:color w:val="auto"/>
              </w:rPr>
              <w:t>6</w:t>
            </w:r>
            <w:r>
              <w:rPr>
                <w:rStyle w:val="20"/>
                <w:rFonts w:hint="default" w:ascii="Times New Roman" w:hAnsi="Times New Roman" w:eastAsiaTheme="minorEastAsia"/>
                <w:color w:val="auto"/>
              </w:rPr>
              <w:t>月投入试运行，</w:t>
            </w:r>
            <w:r>
              <w:rPr>
                <w:rStyle w:val="20"/>
                <w:rFonts w:ascii="Times New Roman" w:hAnsi="Times New Roman" w:eastAsiaTheme="minorEastAsia"/>
                <w:color w:val="auto"/>
              </w:rPr>
              <w:t>2018</w:t>
            </w:r>
            <w:r>
              <w:rPr>
                <w:rStyle w:val="20"/>
                <w:rFonts w:hint="default" w:ascii="Times New Roman" w:hAnsi="Times New Roman" w:eastAsiaTheme="minorEastAsia"/>
                <w:color w:val="auto"/>
              </w:rPr>
              <w:t>年</w:t>
            </w:r>
            <w:r>
              <w:rPr>
                <w:rStyle w:val="20"/>
                <w:rFonts w:ascii="Times New Roman" w:hAnsi="Times New Roman" w:eastAsiaTheme="minorEastAsia"/>
                <w:color w:val="auto"/>
              </w:rPr>
              <w:t>10</w:t>
            </w:r>
            <w:r>
              <w:rPr>
                <w:rStyle w:val="20"/>
                <w:rFonts w:hint="default" w:ascii="Times New Roman" w:hAnsi="Times New Roman" w:eastAsiaTheme="minorEastAsia"/>
                <w:color w:val="auto"/>
              </w:rPr>
              <w:t>月</w:t>
            </w:r>
            <w:r>
              <w:rPr>
                <w:rStyle w:val="20"/>
                <w:rFonts w:ascii="Times New Roman" w:hAnsi="Times New Roman" w:eastAsiaTheme="minorEastAsia"/>
                <w:color w:val="auto"/>
              </w:rPr>
              <w:t>全面</w:t>
            </w:r>
            <w:r>
              <w:rPr>
                <w:rStyle w:val="20"/>
                <w:rFonts w:asciiTheme="minorEastAsia" w:hAnsiTheme="minorEastAsia" w:eastAsiaTheme="minorEastAsia" w:cstheme="minorEastAsia"/>
              </w:rPr>
              <w:t>建成</w:t>
            </w:r>
            <w:r>
              <w:rPr>
                <w:rStyle w:val="20"/>
                <w:rFonts w:hint="default" w:asciiTheme="minorEastAsia" w:hAnsiTheme="minorEastAsia" w:eastAsiaTheme="minorEastAsia" w:cstheme="minorEastAsia"/>
              </w:rPr>
              <w:t>。</w:t>
            </w:r>
          </w:p>
          <w:p>
            <w:pPr>
              <w:widowControl w:val="0"/>
              <w:spacing w:line="120" w:lineRule="auto"/>
              <w:ind w:firstLine="480" w:firstLineChars="200"/>
              <w:jc w:val="both"/>
              <w:rPr>
                <w:rStyle w:val="20"/>
                <w:rFonts w:hint="default" w:ascii="Times New Roman" w:hAnsi="Times New Roman"/>
              </w:rPr>
            </w:pPr>
            <w:r>
              <w:rPr>
                <w:rStyle w:val="20"/>
                <w:rFonts w:asciiTheme="minorEastAsia" w:hAnsiTheme="minorEastAsia" w:eastAsiaTheme="minorEastAsia" w:cstheme="minorEastAsia"/>
              </w:rPr>
              <w:t>二、</w:t>
            </w:r>
            <w:r>
              <w:rPr>
                <w:rStyle w:val="20"/>
                <w:rFonts w:hint="default" w:asciiTheme="minorEastAsia" w:hAnsiTheme="minorEastAsia" w:eastAsiaTheme="minorEastAsia" w:cstheme="minorEastAsia"/>
              </w:rPr>
              <w:t>环评</w:t>
            </w:r>
            <w:r>
              <w:rPr>
                <w:rStyle w:val="20"/>
                <w:rFonts w:hint="default" w:ascii="Times New Roman" w:hAnsi="Times New Roman"/>
              </w:rPr>
              <w:t>批复落实情况</w:t>
            </w:r>
          </w:p>
          <w:p>
            <w:pPr>
              <w:widowControl w:val="0"/>
              <w:ind w:firstLine="480" w:firstLineChars="200"/>
              <w:jc w:val="both"/>
              <w:rPr>
                <w:rStyle w:val="20"/>
                <w:rFonts w:hint="default" w:ascii="Times New Roman" w:hAnsi="Times New Roman"/>
              </w:rPr>
            </w:pPr>
            <w:r>
              <w:rPr>
                <w:rStyle w:val="20"/>
                <w:rFonts w:hint="default" w:ascii="Times New Roman" w:hAnsi="Times New Roman"/>
              </w:rPr>
              <w:t>环评批复的落实情况见表</w:t>
            </w:r>
            <w:r>
              <w:rPr>
                <w:rStyle w:val="20"/>
                <w:rFonts w:ascii="Times New Roman" w:hAnsi="Times New Roman"/>
              </w:rPr>
              <w:t>8</w:t>
            </w:r>
            <w:r>
              <w:rPr>
                <w:rStyle w:val="20"/>
                <w:rFonts w:hint="default" w:ascii="Times New Roman" w:hAnsi="Times New Roman"/>
              </w:rPr>
              <w:t>-1</w:t>
            </w:r>
            <w:r>
              <w:rPr>
                <w:rStyle w:val="20"/>
                <w:rFonts w:ascii="Times New Roman" w:hAnsi="Times New Roman"/>
              </w:rPr>
              <w:t>。</w:t>
            </w:r>
          </w:p>
          <w:p>
            <w:pPr>
              <w:widowControl w:val="0"/>
              <w:spacing w:line="120" w:lineRule="auto"/>
              <w:ind w:firstLine="422" w:firstLineChars="200"/>
              <w:jc w:val="center"/>
              <w:rPr>
                <w:rFonts w:asciiTheme="minorEastAsia" w:hAnsiTheme="minorEastAsia" w:eastAsiaTheme="minorEastAsia" w:cstheme="minorEastAsia"/>
                <w:b/>
                <w:bCs/>
                <w:sz w:val="21"/>
                <w:szCs w:val="21"/>
              </w:rPr>
            </w:pPr>
          </w:p>
          <w:p>
            <w:pPr>
              <w:widowControl w:val="0"/>
              <w:spacing w:line="120" w:lineRule="auto"/>
              <w:ind w:firstLine="422" w:firstLineChars="200"/>
              <w:jc w:val="center"/>
              <w:rPr>
                <w:rFonts w:asciiTheme="minorEastAsia" w:hAnsiTheme="minorEastAsia" w:eastAsiaTheme="minorEastAsia" w:cstheme="minorEastAsia"/>
                <w:b/>
                <w:bCs/>
                <w:sz w:val="21"/>
                <w:szCs w:val="21"/>
              </w:rPr>
            </w:pPr>
          </w:p>
          <w:p>
            <w:pPr>
              <w:widowControl w:val="0"/>
              <w:spacing w:line="120" w:lineRule="auto"/>
              <w:ind w:firstLine="422" w:firstLineChars="200"/>
              <w:jc w:val="center"/>
              <w:rPr>
                <w:rFonts w:asciiTheme="minorEastAsia" w:hAnsiTheme="minorEastAsia" w:eastAsiaTheme="minorEastAsia" w:cstheme="minorEastAsia"/>
                <w:b/>
                <w:bCs/>
                <w:sz w:val="21"/>
                <w:szCs w:val="21"/>
              </w:rPr>
            </w:pPr>
            <w:r>
              <w:rPr>
                <w:rFonts w:asciiTheme="minorEastAsia" w:hAnsiTheme="minorEastAsia" w:eastAsiaTheme="minorEastAsia" w:cstheme="minorEastAsia"/>
                <w:b/>
                <w:bCs/>
                <w:sz w:val="21"/>
                <w:szCs w:val="21"/>
              </w:rPr>
              <w:t>表</w:t>
            </w:r>
            <w:r>
              <w:rPr>
                <w:rFonts w:hint="eastAsia" w:asciiTheme="minorEastAsia" w:hAnsiTheme="minorEastAsia" w:eastAsiaTheme="minorEastAsia" w:cstheme="minorEastAsia"/>
                <w:b/>
                <w:bCs/>
                <w:sz w:val="21"/>
                <w:szCs w:val="21"/>
              </w:rPr>
              <w:t xml:space="preserve"> </w:t>
            </w:r>
            <w:r>
              <w:rPr>
                <w:rFonts w:ascii="Times New Roman" w:hAnsi="Times New Roman" w:eastAsiaTheme="minorEastAsia"/>
                <w:b/>
                <w:bCs/>
                <w:sz w:val="21"/>
                <w:szCs w:val="21"/>
              </w:rPr>
              <w:t>8-1</w:t>
            </w:r>
            <w:r>
              <w:rPr>
                <w:rFonts w:hint="eastAsia" w:ascii="Times New Roman" w:hAnsi="Times New Roman" w:eastAsiaTheme="minorEastAsia"/>
                <w:b/>
                <w:bCs/>
                <w:sz w:val="21"/>
                <w:szCs w:val="21"/>
              </w:rPr>
              <w:t xml:space="preserve"> </w:t>
            </w:r>
            <w:r>
              <w:rPr>
                <w:rFonts w:asciiTheme="minorEastAsia" w:hAnsiTheme="minorEastAsia" w:eastAsiaTheme="minorEastAsia" w:cstheme="minorEastAsia"/>
                <w:b/>
                <w:bCs/>
                <w:sz w:val="21"/>
                <w:szCs w:val="21"/>
              </w:rPr>
              <w:t>环评批复落实情况</w:t>
            </w:r>
          </w:p>
          <w:tbl>
            <w:tblPr>
              <w:tblStyle w:val="12"/>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5581"/>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643" w:type="dxa"/>
                  <w:tcBorders>
                    <w:left w:val="nil"/>
                  </w:tcBorders>
                  <w:vAlign w:val="center"/>
                </w:tcPr>
                <w:p>
                  <w:pPr>
                    <w:pStyle w:val="2"/>
                    <w:jc w:val="center"/>
                    <w:rPr>
                      <w:sz w:val="21"/>
                      <w:szCs w:val="21"/>
                    </w:rPr>
                  </w:pPr>
                  <w:r>
                    <w:rPr>
                      <w:rFonts w:hint="eastAsia"/>
                      <w:sz w:val="21"/>
                      <w:szCs w:val="21"/>
                    </w:rPr>
                    <w:t>序号</w:t>
                  </w:r>
                </w:p>
              </w:tc>
              <w:tc>
                <w:tcPr>
                  <w:tcW w:w="5581" w:type="dxa"/>
                  <w:vAlign w:val="center"/>
                </w:tcPr>
                <w:p>
                  <w:pPr>
                    <w:pStyle w:val="2"/>
                    <w:jc w:val="center"/>
                    <w:rPr>
                      <w:sz w:val="21"/>
                      <w:szCs w:val="21"/>
                    </w:rPr>
                  </w:pPr>
                  <w:r>
                    <w:rPr>
                      <w:rFonts w:hint="eastAsia"/>
                      <w:sz w:val="21"/>
                      <w:szCs w:val="21"/>
                    </w:rPr>
                    <w:t>环评报告表及环评批复要求</w:t>
                  </w:r>
                </w:p>
              </w:tc>
              <w:tc>
                <w:tcPr>
                  <w:tcW w:w="3414" w:type="dxa"/>
                  <w:tcBorders>
                    <w:right w:val="nil"/>
                  </w:tcBorders>
                  <w:vAlign w:val="center"/>
                </w:tcPr>
                <w:p>
                  <w:pPr>
                    <w:pStyle w:val="2"/>
                    <w:jc w:val="center"/>
                    <w:rPr>
                      <w:sz w:val="21"/>
                      <w:szCs w:val="21"/>
                    </w:rPr>
                  </w:pPr>
                  <w:r>
                    <w:rPr>
                      <w:rFonts w:hint="eastAsia"/>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643" w:type="dxa"/>
                  <w:tcBorders>
                    <w:left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5581" w:type="dxa"/>
                  <w:vAlign w:val="center"/>
                </w:tcPr>
                <w:p>
                  <w:pPr>
                    <w:pStyle w:val="2"/>
                    <w:spacing w:line="360" w:lineRule="auto"/>
                    <w:ind w:firstLine="420" w:firstLineChars="200"/>
                    <w:rPr>
                      <w:rFonts w:ascii="Times New Roman" w:hAnsi="Times New Roman" w:cs="Times New Roman"/>
                      <w:sz w:val="21"/>
                      <w:szCs w:val="21"/>
                    </w:rPr>
                  </w:pPr>
                  <w:r>
                    <w:rPr>
                      <w:rFonts w:hint="eastAsia" w:ascii="Times New Roman" w:hAnsi="Times New Roman" w:cs="Times New Roman"/>
                      <w:color w:val="000000" w:themeColor="text1"/>
                      <w:sz w:val="21"/>
                      <w:szCs w:val="21"/>
                    </w:rPr>
                    <w:t>营运期项目建设区域内实施雨污分流制，雨水经雨水口、雨水立管收集后进入市政雨水管网。生活污水经化粪池收集及预处理后达到《污水综合排放标准》（GB8978-1996）三级标准后，排入市政污水管网进入县城污水处理厂处理达标后排放。完善地面以下雨水应急抽排系统，以防淹没地下设备、污染地下水体，危及人身安全，严禁将污水排入地下溶洞。</w:t>
                  </w:r>
                </w:p>
              </w:tc>
              <w:tc>
                <w:tcPr>
                  <w:tcW w:w="3414" w:type="dxa"/>
                  <w:tcBorders>
                    <w:right w:val="nil"/>
                  </w:tcBorders>
                  <w:vAlign w:val="center"/>
                </w:tcPr>
                <w:p>
                  <w:pPr>
                    <w:pStyle w:val="2"/>
                    <w:spacing w:line="360" w:lineRule="auto"/>
                    <w:ind w:firstLine="420" w:firstLineChars="20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经现场核实：项目生活污水经化粪池处理后，排入市政管网，最终由道真污水处理厂处理。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trPr>
              <w:tc>
                <w:tcPr>
                  <w:tcW w:w="643" w:type="dxa"/>
                  <w:tcBorders>
                    <w:left w:val="nil"/>
                  </w:tcBorders>
                  <w:vAlign w:val="center"/>
                </w:tcPr>
                <w:p>
                  <w:pPr>
                    <w:pStyle w:val="2"/>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5581" w:type="dxa"/>
                  <w:vAlign w:val="center"/>
                </w:tcPr>
                <w:p>
                  <w:pPr>
                    <w:pStyle w:val="2"/>
                    <w:spacing w:line="360" w:lineRule="auto"/>
                    <w:ind w:firstLine="420" w:firstLineChars="20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营运期对厕所臭气和厨房烟气必须有专用排污管，烟气经收集屋顶通过油烟净化器处理达标后排放；及时清运区域内生活垃圾和腐烂物，防止产生恶臭味道；加强物业管理，区域商铺出租经营必须使用清洁能源，将清洁能源管道安装至中心城内；地下车库完善通风及排气设施。</w:t>
                  </w:r>
                </w:p>
              </w:tc>
              <w:tc>
                <w:tcPr>
                  <w:tcW w:w="3414" w:type="dxa"/>
                  <w:tcBorders>
                    <w:right w:val="nil"/>
                  </w:tcBorders>
                  <w:vAlign w:val="center"/>
                </w:tcPr>
                <w:p>
                  <w:pPr>
                    <w:widowControl w:val="0"/>
                    <w:adjustRightInd/>
                    <w:snapToGrid/>
                    <w:spacing w:line="360" w:lineRule="auto"/>
                    <w:ind w:firstLine="420" w:firstLineChars="200"/>
                    <w:jc w:val="both"/>
                    <w:rPr>
                      <w:rFonts w:ascii="Times New Roman" w:hAnsi="Times New Roman"/>
                      <w:color w:val="000000" w:themeColor="text1"/>
                      <w:sz w:val="21"/>
                      <w:szCs w:val="21"/>
                    </w:rPr>
                  </w:pPr>
                  <w:r>
                    <w:rPr>
                      <w:rFonts w:hint="eastAsia" w:ascii="Times New Roman" w:hAnsi="Times New Roman" w:eastAsia="宋体"/>
                      <w:color w:val="000000" w:themeColor="text1"/>
                      <w:sz w:val="21"/>
                      <w:szCs w:val="21"/>
                    </w:rPr>
                    <w:t>经现场核实：项目垃圾收集点与公厕门口均采取定期消毒除臭处理，地面作硬化防渗；地下停车场安装通风管道等设施。项目商业店铺出租给个人使用，商铺油烟烟道经商铺自行修建的油烟烟道至屋顶排放。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43" w:type="dxa"/>
                  <w:tcBorders>
                    <w:left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5581" w:type="dxa"/>
                  <w:vAlign w:val="center"/>
                </w:tcPr>
                <w:p>
                  <w:pPr>
                    <w:pStyle w:val="2"/>
                    <w:spacing w:line="360" w:lineRule="auto"/>
                    <w:ind w:firstLine="420" w:firstLineChars="20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营运期对噪声源采取隔音、消声、密闭措施控制对周围环境的污染。</w:t>
                  </w:r>
                </w:p>
              </w:tc>
              <w:tc>
                <w:tcPr>
                  <w:tcW w:w="3414" w:type="dxa"/>
                  <w:tcBorders>
                    <w:right w:val="nil"/>
                  </w:tcBorders>
                  <w:vAlign w:val="center"/>
                </w:tcPr>
                <w:p>
                  <w:pPr>
                    <w:spacing w:after="80" w:line="360" w:lineRule="auto"/>
                    <w:ind w:firstLine="420" w:firstLineChars="200"/>
                    <w:rPr>
                      <w:rFonts w:ascii="Times New Roman" w:hAnsi="Times New Roman"/>
                      <w:color w:val="000000" w:themeColor="text1"/>
                      <w:sz w:val="21"/>
                      <w:szCs w:val="21"/>
                    </w:rPr>
                  </w:pPr>
                  <w:r>
                    <w:rPr>
                      <w:rFonts w:hint="eastAsia" w:ascii="Times New Roman" w:hAnsi="Times New Roman" w:eastAsia="宋体"/>
                      <w:color w:val="000000"/>
                      <w:sz w:val="21"/>
                      <w:szCs w:val="21"/>
                    </w:rPr>
                    <w:t>经现场核实：</w:t>
                  </w:r>
                  <w:r>
                    <w:rPr>
                      <w:rFonts w:hint="eastAsia" w:ascii="Times New Roman" w:hAnsi="Times New Roman" w:eastAsia="宋体"/>
                      <w:color w:val="000000"/>
                      <w:sz w:val="21"/>
                      <w:szCs w:val="21"/>
                      <w:lang w:val="zh-CN"/>
                    </w:rPr>
                    <w:t>项目设备采取隔音、</w:t>
                  </w:r>
                  <w:r>
                    <w:rPr>
                      <w:rFonts w:hint="eastAsia" w:ascii="Times New Roman" w:hAnsi="Times New Roman" w:eastAsia="宋体"/>
                      <w:color w:val="000000"/>
                      <w:sz w:val="21"/>
                      <w:szCs w:val="21"/>
                    </w:rPr>
                    <w:t>房屋四周种植绿化植被降噪等。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43" w:type="dxa"/>
                  <w:tcBorders>
                    <w:left w:val="nil"/>
                  </w:tcBorders>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5581" w:type="dxa"/>
                  <w:vAlign w:val="center"/>
                </w:tcPr>
                <w:p>
                  <w:pPr>
                    <w:pStyle w:val="2"/>
                    <w:spacing w:line="360" w:lineRule="auto"/>
                    <w:ind w:firstLine="420" w:firstLineChars="200"/>
                    <w:rPr>
                      <w:rFonts w:ascii="Times New Roman" w:hAnsi="Times New Roman" w:cs="Times New Roman"/>
                      <w:color w:val="FF0000"/>
                      <w:sz w:val="21"/>
                      <w:szCs w:val="21"/>
                    </w:rPr>
                  </w:pPr>
                  <w:r>
                    <w:rPr>
                      <w:rFonts w:hint="eastAsia" w:ascii="Times New Roman" w:hAnsi="Times New Roman" w:cs="Times New Roman"/>
                      <w:color w:val="000000" w:themeColor="text1"/>
                      <w:sz w:val="21"/>
                      <w:szCs w:val="21"/>
                    </w:rPr>
                    <w:t>运营期固体废弃物为生活垃圾和商铺垃圾，项目区内不设垃圾收集中转站，完善垃圾收集临时贮存设施，委托县环卫公司定期清运至县城垃圾填埋场处置；对商铺垃圾除能回收利用外，其它的同生活垃圾一并处理。</w:t>
                  </w:r>
                </w:p>
              </w:tc>
              <w:tc>
                <w:tcPr>
                  <w:tcW w:w="3414" w:type="dxa"/>
                  <w:tcBorders>
                    <w:right w:val="nil"/>
                  </w:tcBorders>
                  <w:vAlign w:val="center"/>
                </w:tcPr>
                <w:p>
                  <w:pPr>
                    <w:pStyle w:val="2"/>
                    <w:spacing w:line="360" w:lineRule="auto"/>
                    <w:ind w:firstLine="420" w:firstLineChars="20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经现场核实：项目化粪池污泥由物业公司交由专业处理机构处理，每半年清理一次</w:t>
                  </w:r>
                  <w:r>
                    <w:rPr>
                      <w:rFonts w:hint="eastAsia" w:ascii="Times New Roman" w:hAnsi="Times New Roman" w:cs="Times New Roman"/>
                      <w:color w:val="auto"/>
                      <w:sz w:val="21"/>
                      <w:szCs w:val="21"/>
                    </w:rPr>
                    <w:t>（附件3）</w:t>
                  </w:r>
                  <w:r>
                    <w:rPr>
                      <w:rFonts w:hint="eastAsia" w:ascii="Times New Roman" w:hAnsi="Times New Roman" w:cs="Times New Roman"/>
                      <w:color w:val="000000" w:themeColor="text1"/>
                      <w:sz w:val="21"/>
                      <w:szCs w:val="21"/>
                    </w:rPr>
                    <w:t>；生活垃圾集中收集，定期由环卫部门收集送往垃圾填埋场处置。</w:t>
                  </w:r>
                </w:p>
              </w:tc>
            </w:tr>
          </w:tbl>
          <w:p>
            <w:pPr>
              <w:pStyle w:val="2"/>
              <w:jc w:val="both"/>
            </w:pPr>
          </w:p>
        </w:tc>
      </w:tr>
    </w:tbl>
    <w:p>
      <w:pPr>
        <w:rPr>
          <w:rFonts w:eastAsia="仿宋_GB2312"/>
          <w:b/>
          <w:color w:val="000000"/>
          <w:sz w:val="32"/>
          <w:szCs w:val="32"/>
        </w:rPr>
      </w:pPr>
      <w:r>
        <w:rPr>
          <w:rFonts w:eastAsia="仿宋_GB2312"/>
          <w:b/>
          <w:color w:val="000000"/>
          <w:sz w:val="32"/>
          <w:szCs w:val="32"/>
        </w:rPr>
        <w:t>表</w:t>
      </w:r>
      <w:r>
        <w:rPr>
          <w:rFonts w:hint="eastAsia" w:eastAsia="仿宋_GB2312"/>
          <w:b/>
          <w:color w:val="000000"/>
          <w:sz w:val="32"/>
          <w:szCs w:val="32"/>
        </w:rPr>
        <w:t>九</w:t>
      </w: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7" w:hRule="atLeast"/>
        </w:trPr>
        <w:tc>
          <w:tcPr>
            <w:tcW w:w="9854" w:type="dxa"/>
          </w:tcPr>
          <w:p>
            <w:pPr>
              <w:widowControl w:val="0"/>
              <w:spacing w:beforeLines="20"/>
              <w:jc w:val="both"/>
              <w:rPr>
                <w:rFonts w:ascii="宋体" w:hAnsi="宋体" w:eastAsia="宋体"/>
                <w:b/>
                <w:bCs/>
                <w:color w:val="000000"/>
                <w:sz w:val="28"/>
                <w:szCs w:val="28"/>
              </w:rPr>
            </w:pPr>
            <w:r>
              <w:rPr>
                <w:rFonts w:hint="eastAsia" w:ascii="宋体" w:hAnsi="宋体" w:eastAsia="宋体"/>
                <w:b/>
                <w:bCs/>
                <w:color w:val="000000"/>
                <w:sz w:val="28"/>
                <w:szCs w:val="28"/>
              </w:rPr>
              <w:t>一、验收监测结论：</w:t>
            </w:r>
          </w:p>
          <w:p>
            <w:pPr>
              <w:widowControl w:val="0"/>
              <w:spacing w:beforeLines="20" w:line="360" w:lineRule="auto"/>
              <w:ind w:firstLine="480" w:firstLineChars="200"/>
              <w:jc w:val="both"/>
              <w:rPr>
                <w:rStyle w:val="20"/>
                <w:rFonts w:hint="default" w:ascii="Times New Roman" w:hAnsi="Times New Roman" w:eastAsiaTheme="minorEastAsia"/>
                <w:color w:val="auto"/>
              </w:rPr>
            </w:pPr>
            <w:r>
              <w:rPr>
                <w:rStyle w:val="20"/>
                <w:rFonts w:hint="default" w:ascii="Times New Roman" w:hAnsi="Times New Roman" w:eastAsiaTheme="minorEastAsia"/>
              </w:rPr>
              <w:t>本项目</w:t>
            </w:r>
            <w:r>
              <w:rPr>
                <w:rStyle w:val="20"/>
                <w:rFonts w:hint="default" w:ascii="Times New Roman" w:hAnsi="Times New Roman" w:eastAsiaTheme="minorEastAsia"/>
                <w:color w:val="auto"/>
              </w:rPr>
              <w:t>于</w:t>
            </w:r>
            <w:r>
              <w:rPr>
                <w:rStyle w:val="20"/>
                <w:rFonts w:ascii="Times New Roman" w:hAnsi="Times New Roman" w:eastAsiaTheme="minorEastAsia"/>
                <w:color w:val="auto"/>
              </w:rPr>
              <w:t>2014年12月</w:t>
            </w:r>
            <w:r>
              <w:rPr>
                <w:rStyle w:val="20"/>
                <w:rFonts w:hint="default" w:ascii="Times New Roman" w:hAnsi="Times New Roman" w:eastAsiaTheme="minorEastAsia"/>
                <w:color w:val="auto"/>
              </w:rPr>
              <w:t>由</w:t>
            </w:r>
            <w:r>
              <w:rPr>
                <w:rStyle w:val="20"/>
                <w:rFonts w:ascii="Times New Roman" w:hAnsi="Times New Roman" w:eastAsiaTheme="minorEastAsia"/>
                <w:color w:val="auto"/>
              </w:rPr>
              <w:t>广州市环境保护工程设计院有限公司</w:t>
            </w:r>
            <w:r>
              <w:rPr>
                <w:rStyle w:val="20"/>
                <w:rFonts w:hint="default" w:ascii="Times New Roman" w:hAnsi="Times New Roman" w:eastAsiaTheme="minorEastAsia"/>
              </w:rPr>
              <w:t>编制完成项目环境影响报告表，</w:t>
            </w:r>
            <w:r>
              <w:rPr>
                <w:rStyle w:val="20"/>
                <w:rFonts w:ascii="Times New Roman" w:hAnsi="Times New Roman" w:eastAsiaTheme="minorEastAsia"/>
              </w:rPr>
              <w:t>道真仡佬族苗族自治县环境保护局</w:t>
            </w:r>
            <w:r>
              <w:rPr>
                <w:rStyle w:val="20"/>
                <w:rFonts w:hint="default" w:ascii="Times New Roman" w:hAnsi="Times New Roman" w:eastAsiaTheme="minorEastAsia"/>
              </w:rPr>
              <w:t>于</w:t>
            </w:r>
            <w:r>
              <w:rPr>
                <w:rStyle w:val="20"/>
                <w:rFonts w:ascii="Times New Roman" w:hAnsi="Times New Roman" w:eastAsiaTheme="minorEastAsia"/>
              </w:rPr>
              <w:t>2014</w:t>
            </w:r>
            <w:r>
              <w:rPr>
                <w:rStyle w:val="20"/>
                <w:rFonts w:hint="default" w:ascii="Times New Roman" w:hAnsi="Times New Roman" w:eastAsiaTheme="minorEastAsia"/>
              </w:rPr>
              <w:t>年</w:t>
            </w:r>
            <w:r>
              <w:rPr>
                <w:rStyle w:val="20"/>
                <w:rFonts w:ascii="Times New Roman" w:hAnsi="Times New Roman" w:eastAsiaTheme="minorEastAsia"/>
              </w:rPr>
              <w:t>12</w:t>
            </w:r>
            <w:r>
              <w:rPr>
                <w:rStyle w:val="20"/>
                <w:rFonts w:hint="default" w:ascii="Times New Roman" w:hAnsi="Times New Roman" w:eastAsiaTheme="minorEastAsia"/>
              </w:rPr>
              <w:t>月</w:t>
            </w:r>
            <w:r>
              <w:rPr>
                <w:rStyle w:val="20"/>
                <w:rFonts w:ascii="Times New Roman" w:hAnsi="Times New Roman" w:eastAsiaTheme="minorEastAsia"/>
              </w:rPr>
              <w:t>22</w:t>
            </w:r>
            <w:r>
              <w:rPr>
                <w:rStyle w:val="20"/>
                <w:rFonts w:hint="default" w:ascii="Times New Roman" w:hAnsi="Times New Roman" w:eastAsiaTheme="minorEastAsia"/>
              </w:rPr>
              <w:t>日以</w:t>
            </w:r>
            <w:r>
              <w:rPr>
                <w:rStyle w:val="20"/>
                <w:rFonts w:ascii="Times New Roman" w:hAnsi="Times New Roman" w:eastAsiaTheme="minorEastAsia"/>
              </w:rPr>
              <w:t>“道环评复[2014]85号</w:t>
            </w:r>
            <w:r>
              <w:rPr>
                <w:rStyle w:val="20"/>
                <w:rFonts w:hint="default" w:ascii="Times New Roman" w:hAnsi="Times New Roman" w:eastAsiaTheme="minorEastAsia"/>
              </w:rPr>
              <w:t>文件</w:t>
            </w:r>
            <w:r>
              <w:rPr>
                <w:rStyle w:val="20"/>
                <w:rFonts w:ascii="Times New Roman" w:hAnsi="Times New Roman" w:eastAsiaTheme="minorEastAsia"/>
              </w:rPr>
              <w:t>”</w:t>
            </w:r>
            <w:r>
              <w:rPr>
                <w:rStyle w:val="20"/>
                <w:rFonts w:hint="default" w:ascii="Times New Roman" w:hAnsi="Times New Roman" w:eastAsiaTheme="minorEastAsia"/>
              </w:rPr>
              <w:t>对环评报告表进行了</w:t>
            </w:r>
            <w:r>
              <w:rPr>
                <w:rStyle w:val="20"/>
                <w:rFonts w:ascii="Times New Roman" w:hAnsi="Times New Roman" w:eastAsiaTheme="minorEastAsia"/>
              </w:rPr>
              <w:t>审批</w:t>
            </w:r>
            <w:r>
              <w:rPr>
                <w:rStyle w:val="20"/>
                <w:rFonts w:hint="default" w:ascii="Times New Roman" w:hAnsi="Times New Roman" w:eastAsiaTheme="minorEastAsia"/>
                <w:color w:val="auto"/>
              </w:rPr>
              <w:t>，</w:t>
            </w:r>
            <w:r>
              <w:rPr>
                <w:rStyle w:val="20"/>
                <w:rFonts w:ascii="Times New Roman" w:hAnsi="Times New Roman" w:eastAsiaTheme="minorEastAsia"/>
                <w:color w:val="auto"/>
              </w:rPr>
              <w:t>2014年12月办</w:t>
            </w:r>
            <w:r>
              <w:rPr>
                <w:rStyle w:val="20"/>
                <w:rFonts w:ascii="Times New Roman" w:hAnsi="Times New Roman" w:eastAsiaTheme="minorEastAsia"/>
              </w:rPr>
              <w:t>理</w:t>
            </w:r>
            <w:r>
              <w:rPr>
                <w:rStyle w:val="20"/>
                <w:rFonts w:hint="default" w:ascii="Times New Roman" w:hAnsi="Times New Roman" w:eastAsiaTheme="minorEastAsia"/>
              </w:rPr>
              <w:t>环评后企业按照环境影响报告表和</w:t>
            </w:r>
            <w:r>
              <w:rPr>
                <w:rStyle w:val="20"/>
                <w:rFonts w:ascii="Times New Roman" w:hAnsi="Times New Roman" w:eastAsiaTheme="minorEastAsia"/>
              </w:rPr>
              <w:t>审批意见</w:t>
            </w:r>
            <w:r>
              <w:rPr>
                <w:rStyle w:val="20"/>
                <w:rFonts w:hint="default" w:ascii="Times New Roman" w:hAnsi="Times New Roman" w:eastAsiaTheme="minorEastAsia"/>
              </w:rPr>
              <w:t>的要求落实各环保设施的建设</w:t>
            </w:r>
            <w:r>
              <w:rPr>
                <w:rStyle w:val="20"/>
                <w:rFonts w:ascii="Times New Roman" w:hAnsi="Times New Roman" w:eastAsiaTheme="minorEastAsia"/>
              </w:rPr>
              <w:t>，</w:t>
            </w:r>
            <w:r>
              <w:rPr>
                <w:rStyle w:val="20"/>
                <w:rFonts w:hint="default" w:ascii="Times New Roman" w:hAnsi="Times New Roman" w:eastAsiaTheme="minorEastAsia"/>
                <w:color w:val="auto"/>
              </w:rPr>
              <w:t>项目于</w:t>
            </w:r>
            <w:r>
              <w:rPr>
                <w:rStyle w:val="20"/>
                <w:rFonts w:ascii="Times New Roman" w:hAnsi="Times New Roman" w:eastAsiaTheme="minorEastAsia"/>
                <w:color w:val="auto"/>
              </w:rPr>
              <w:t>2015年4月</w:t>
            </w:r>
            <w:r>
              <w:rPr>
                <w:rStyle w:val="20"/>
                <w:rFonts w:hint="default" w:ascii="Times New Roman" w:hAnsi="Times New Roman" w:eastAsiaTheme="minorEastAsia"/>
                <w:color w:val="auto"/>
              </w:rPr>
              <w:t>开工建设，于</w:t>
            </w:r>
            <w:r>
              <w:rPr>
                <w:rStyle w:val="20"/>
                <w:rFonts w:ascii="Times New Roman" w:hAnsi="Times New Roman" w:eastAsiaTheme="minorEastAsia"/>
                <w:color w:val="auto"/>
              </w:rPr>
              <w:t>2017</w:t>
            </w:r>
            <w:r>
              <w:rPr>
                <w:rStyle w:val="20"/>
                <w:rFonts w:hint="default" w:ascii="Times New Roman" w:hAnsi="Times New Roman" w:eastAsiaTheme="minorEastAsia"/>
                <w:color w:val="auto"/>
              </w:rPr>
              <w:t>年</w:t>
            </w:r>
            <w:r>
              <w:rPr>
                <w:rStyle w:val="20"/>
                <w:rFonts w:ascii="Times New Roman" w:hAnsi="Times New Roman" w:eastAsiaTheme="minorEastAsia"/>
                <w:color w:val="auto"/>
              </w:rPr>
              <w:t>6</w:t>
            </w:r>
            <w:r>
              <w:rPr>
                <w:rStyle w:val="20"/>
                <w:rFonts w:hint="default" w:ascii="Times New Roman" w:hAnsi="Times New Roman" w:eastAsiaTheme="minorEastAsia"/>
                <w:color w:val="auto"/>
              </w:rPr>
              <w:t>月投入试运行，</w:t>
            </w:r>
            <w:r>
              <w:rPr>
                <w:rStyle w:val="20"/>
                <w:rFonts w:ascii="Times New Roman" w:hAnsi="Times New Roman" w:eastAsiaTheme="minorEastAsia"/>
                <w:color w:val="auto"/>
              </w:rPr>
              <w:t>2018</w:t>
            </w:r>
            <w:r>
              <w:rPr>
                <w:rStyle w:val="20"/>
                <w:rFonts w:hint="default" w:ascii="Times New Roman" w:hAnsi="Times New Roman" w:eastAsiaTheme="minorEastAsia"/>
                <w:color w:val="auto"/>
              </w:rPr>
              <w:t>年</w:t>
            </w:r>
            <w:r>
              <w:rPr>
                <w:rStyle w:val="20"/>
                <w:rFonts w:ascii="Times New Roman" w:hAnsi="Times New Roman" w:eastAsiaTheme="minorEastAsia"/>
                <w:color w:val="auto"/>
              </w:rPr>
              <w:t>10</w:t>
            </w:r>
            <w:r>
              <w:rPr>
                <w:rStyle w:val="20"/>
                <w:rFonts w:hint="default" w:ascii="Times New Roman" w:hAnsi="Times New Roman" w:eastAsiaTheme="minorEastAsia"/>
                <w:color w:val="auto"/>
              </w:rPr>
              <w:t>月</w:t>
            </w:r>
            <w:r>
              <w:rPr>
                <w:rStyle w:val="20"/>
                <w:rFonts w:ascii="Times New Roman" w:hAnsi="Times New Roman" w:eastAsiaTheme="minorEastAsia"/>
                <w:color w:val="auto"/>
              </w:rPr>
              <w:t>全面建成</w:t>
            </w:r>
            <w:r>
              <w:rPr>
                <w:rStyle w:val="20"/>
                <w:rFonts w:hint="default" w:ascii="Times New Roman" w:hAnsi="Times New Roman" w:eastAsiaTheme="minorEastAsia"/>
                <w:color w:val="auto"/>
              </w:rPr>
              <w:t>。</w:t>
            </w:r>
            <w:r>
              <w:rPr>
                <w:rStyle w:val="20"/>
                <w:rFonts w:hint="default" w:ascii="Times New Roman" w:hAnsi="Times New Roman"/>
                <w:color w:val="auto"/>
              </w:rPr>
              <w:t>目前各项环保设施运行状况基本正常</w:t>
            </w:r>
            <w:r>
              <w:rPr>
                <w:rStyle w:val="20"/>
                <w:rFonts w:ascii="Times New Roman" w:hAnsi="Times New Roman"/>
                <w:color w:val="auto"/>
              </w:rPr>
              <w:t>。</w:t>
            </w:r>
            <w:r>
              <w:rPr>
                <w:rStyle w:val="20"/>
                <w:rFonts w:hint="default" w:ascii="Times New Roman" w:hAnsi="Times New Roman"/>
                <w:color w:val="auto"/>
              </w:rPr>
              <w:t>验收监测期间，</w:t>
            </w:r>
            <w:r>
              <w:rPr>
                <w:rStyle w:val="20"/>
                <w:rFonts w:ascii="Times New Roman" w:hAnsi="Times New Roman"/>
                <w:color w:val="auto"/>
              </w:rPr>
              <w:t>道真金瑞中心城一期房地产开发建设项目</w:t>
            </w:r>
            <w:r>
              <w:rPr>
                <w:rStyle w:val="20"/>
                <w:rFonts w:hint="default" w:ascii="Times New Roman" w:hAnsi="Times New Roman"/>
                <w:color w:val="auto"/>
              </w:rPr>
              <w:t>的</w:t>
            </w:r>
            <w:r>
              <w:rPr>
                <w:rStyle w:val="20"/>
                <w:rFonts w:ascii="Times New Roman" w:hAnsi="Times New Roman"/>
                <w:color w:val="auto"/>
              </w:rPr>
              <w:t>废水、废气、噪声均</w:t>
            </w:r>
            <w:r>
              <w:rPr>
                <w:rStyle w:val="20"/>
                <w:rFonts w:hint="default" w:ascii="Times New Roman" w:hAnsi="Times New Roman"/>
                <w:color w:val="auto"/>
              </w:rPr>
              <w:t>达</w:t>
            </w:r>
            <w:r>
              <w:rPr>
                <w:rStyle w:val="20"/>
                <w:rFonts w:hint="default" w:ascii="Times New Roman" w:hAnsi="Times New Roman" w:eastAsiaTheme="minorEastAsia"/>
                <w:color w:val="auto"/>
              </w:rPr>
              <w:t>标排放</w:t>
            </w:r>
            <w:r>
              <w:rPr>
                <w:rStyle w:val="20"/>
                <w:rFonts w:ascii="Times New Roman" w:hAnsi="Times New Roman" w:eastAsiaTheme="minorEastAsia"/>
                <w:color w:val="auto"/>
              </w:rPr>
              <w:t>。</w:t>
            </w:r>
            <w:r>
              <w:rPr>
                <w:rFonts w:ascii="Times New Roman" w:hAnsi="Times New Roman" w:eastAsia="宋体"/>
                <w:sz w:val="24"/>
                <w:szCs w:val="24"/>
              </w:rPr>
              <w:t>经监测，</w:t>
            </w:r>
            <w:r>
              <w:rPr>
                <w:rFonts w:hint="eastAsia" w:ascii="Times New Roman" w:hAnsi="Times New Roman" w:eastAsia="宋体"/>
                <w:sz w:val="24"/>
                <w:szCs w:val="24"/>
              </w:rPr>
              <w:t>污水处理站排口</w:t>
            </w:r>
            <w:r>
              <w:rPr>
                <w:rFonts w:ascii="Times New Roman" w:hAnsi="Times New Roman" w:eastAsia="宋体"/>
                <w:sz w:val="24"/>
                <w:szCs w:val="24"/>
              </w:rPr>
              <w:t>监测</w:t>
            </w:r>
            <w:r>
              <w:rPr>
                <w:rFonts w:hint="eastAsia" w:ascii="Times New Roman" w:hAnsi="Times New Roman" w:eastAsia="宋体"/>
                <w:sz w:val="24"/>
                <w:szCs w:val="24"/>
              </w:rPr>
              <w:t>的</w:t>
            </w:r>
            <w:r>
              <w:rPr>
                <w:rFonts w:ascii="Times New Roman" w:hAnsi="Times New Roman" w:eastAsia="宋体"/>
                <w:sz w:val="24"/>
                <w:szCs w:val="24"/>
              </w:rPr>
              <w:t>pH、COD</w:t>
            </w:r>
            <w:r>
              <w:rPr>
                <w:rFonts w:ascii="Times New Roman" w:hAnsi="Times New Roman" w:eastAsia="宋体"/>
                <w:sz w:val="24"/>
                <w:szCs w:val="24"/>
                <w:vertAlign w:val="subscript"/>
              </w:rPr>
              <w:t>cr</w:t>
            </w:r>
            <w:r>
              <w:rPr>
                <w:rFonts w:ascii="Times New Roman" w:hAnsi="Times New Roman" w:eastAsia="宋体"/>
                <w:sz w:val="24"/>
                <w:szCs w:val="24"/>
              </w:rPr>
              <w:t>、BOD</w:t>
            </w:r>
            <w:r>
              <w:rPr>
                <w:rFonts w:ascii="Times New Roman" w:hAnsi="Times New Roman" w:eastAsia="宋体"/>
                <w:sz w:val="24"/>
                <w:szCs w:val="24"/>
                <w:vertAlign w:val="subscript"/>
              </w:rPr>
              <w:t>5</w:t>
            </w:r>
            <w:r>
              <w:rPr>
                <w:rFonts w:ascii="Times New Roman" w:hAnsi="Times New Roman" w:eastAsia="宋体"/>
                <w:sz w:val="24"/>
                <w:szCs w:val="24"/>
              </w:rPr>
              <w:t>、</w:t>
            </w:r>
            <w:r>
              <w:rPr>
                <w:rFonts w:hint="eastAsia" w:ascii="Times New Roman" w:hAnsi="Times New Roman" w:eastAsia="宋体"/>
                <w:sz w:val="24"/>
                <w:szCs w:val="24"/>
              </w:rPr>
              <w:t>动植物油</w:t>
            </w:r>
            <w:r>
              <w:rPr>
                <w:rFonts w:ascii="Times New Roman" w:hAnsi="Times New Roman" w:eastAsia="宋体"/>
                <w:sz w:val="24"/>
                <w:szCs w:val="24"/>
              </w:rPr>
              <w:t>的监测结果均满足《</w:t>
            </w:r>
            <w:r>
              <w:rPr>
                <w:rFonts w:hint="eastAsia" w:ascii="Times New Roman" w:hAnsi="Times New Roman" w:eastAsia="宋体"/>
                <w:sz w:val="24"/>
                <w:szCs w:val="24"/>
              </w:rPr>
              <w:t>污水综合排放标准</w:t>
            </w:r>
            <w:r>
              <w:rPr>
                <w:rFonts w:ascii="Times New Roman" w:hAnsi="Times New Roman" w:eastAsia="宋体"/>
                <w:sz w:val="24"/>
                <w:szCs w:val="24"/>
              </w:rPr>
              <w:t>》（GB</w:t>
            </w:r>
            <w:r>
              <w:rPr>
                <w:rFonts w:hint="eastAsia" w:ascii="Times New Roman" w:hAnsi="Times New Roman" w:eastAsia="宋体"/>
                <w:sz w:val="24"/>
                <w:szCs w:val="24"/>
              </w:rPr>
              <w:t>8978-1996</w:t>
            </w:r>
            <w:r>
              <w:rPr>
                <w:rFonts w:ascii="Times New Roman" w:hAnsi="Times New Roman" w:eastAsia="宋体"/>
                <w:sz w:val="24"/>
                <w:szCs w:val="24"/>
              </w:rPr>
              <w:t>）</w:t>
            </w:r>
            <w:r>
              <w:rPr>
                <w:rFonts w:hint="eastAsia" w:ascii="Times New Roman" w:hAnsi="Times New Roman" w:eastAsia="宋体"/>
                <w:sz w:val="24"/>
                <w:szCs w:val="24"/>
              </w:rPr>
              <w:t>三级</w:t>
            </w:r>
            <w:r>
              <w:rPr>
                <w:rFonts w:ascii="Times New Roman" w:hAnsi="Times New Roman" w:eastAsia="宋体"/>
                <w:sz w:val="24"/>
                <w:szCs w:val="24"/>
              </w:rPr>
              <w:t>排放标准</w:t>
            </w:r>
            <w:r>
              <w:rPr>
                <w:rFonts w:hint="eastAsia" w:ascii="Times New Roman" w:hAnsi="Times New Roman" w:eastAsia="宋体"/>
                <w:sz w:val="24"/>
                <w:szCs w:val="24"/>
              </w:rPr>
              <w:t>的要求；</w:t>
            </w:r>
            <w:r>
              <w:rPr>
                <w:rFonts w:ascii="Times New Roman" w:hAnsi="Times New Roman" w:eastAsia="宋体"/>
                <w:sz w:val="24"/>
                <w:szCs w:val="24"/>
              </w:rPr>
              <w:t>标准中未对氨氮</w:t>
            </w:r>
            <w:r>
              <w:rPr>
                <w:rFonts w:hint="eastAsia" w:ascii="Times New Roman" w:hAnsi="Times New Roman" w:eastAsia="宋体"/>
                <w:sz w:val="24"/>
                <w:szCs w:val="24"/>
              </w:rPr>
              <w:t>、粪大肠菌群</w:t>
            </w:r>
            <w:r>
              <w:rPr>
                <w:rFonts w:ascii="Times New Roman" w:hAnsi="Times New Roman" w:eastAsia="宋体"/>
                <w:sz w:val="24"/>
                <w:szCs w:val="24"/>
              </w:rPr>
              <w:t>做要求，故不予评价</w:t>
            </w:r>
            <w:r>
              <w:rPr>
                <w:rFonts w:hint="eastAsia" w:ascii="Times New Roman" w:hAnsi="Times New Roman" w:eastAsia="宋体"/>
                <w:sz w:val="24"/>
                <w:szCs w:val="24"/>
              </w:rPr>
              <w:t>。项目垃圾收集点外1m、公厕门口外1m所测的臭气浓度的</w:t>
            </w:r>
            <w:r>
              <w:rPr>
                <w:rFonts w:ascii="Times New Roman" w:hAnsi="Times New Roman" w:eastAsia="宋体"/>
                <w:sz w:val="24"/>
                <w:szCs w:val="24"/>
              </w:rPr>
              <w:t>监测结果</w:t>
            </w:r>
            <w:r>
              <w:rPr>
                <w:rFonts w:hint="eastAsia" w:ascii="Times New Roman" w:hAnsi="Times New Roman" w:eastAsia="宋体"/>
                <w:sz w:val="24"/>
                <w:szCs w:val="24"/>
              </w:rPr>
              <w:t>均</w:t>
            </w:r>
            <w:r>
              <w:rPr>
                <w:rFonts w:ascii="Times New Roman" w:hAnsi="Times New Roman" w:eastAsia="宋体"/>
                <w:sz w:val="24"/>
                <w:szCs w:val="24"/>
              </w:rPr>
              <w:t>满足</w:t>
            </w:r>
            <w:r>
              <w:rPr>
                <w:rFonts w:hint="eastAsia" w:ascii="Times New Roman" w:hAnsi="Times New Roman" w:eastAsia="宋体"/>
                <w:sz w:val="24"/>
                <w:szCs w:val="24"/>
              </w:rPr>
              <w:t>《恶臭污染物排放标准》（GB14554-93）表1排放标准的要求。项目夜</w:t>
            </w:r>
            <w:r>
              <w:rPr>
                <w:rFonts w:ascii="Times New Roman" w:hAnsi="Times New Roman" w:eastAsia="宋体"/>
                <w:sz w:val="24"/>
                <w:szCs w:val="24"/>
              </w:rPr>
              <w:t>间噪声最小监测值为</w:t>
            </w:r>
            <w:r>
              <w:rPr>
                <w:rFonts w:hint="eastAsia" w:ascii="Times New Roman" w:hAnsi="Times New Roman" w:eastAsia="宋体"/>
                <w:sz w:val="24"/>
                <w:szCs w:val="24"/>
              </w:rPr>
              <w:t>42.2</w:t>
            </w:r>
            <w:r>
              <w:rPr>
                <w:rFonts w:ascii="Times New Roman" w:hAnsi="Times New Roman" w:eastAsia="宋体"/>
                <w:sz w:val="24"/>
                <w:szCs w:val="24"/>
              </w:rPr>
              <w:t>dB(A)、最大监测值为</w:t>
            </w:r>
            <w:r>
              <w:rPr>
                <w:rFonts w:hint="eastAsia" w:ascii="Times New Roman" w:hAnsi="Times New Roman" w:eastAsia="宋体"/>
                <w:sz w:val="24"/>
                <w:szCs w:val="24"/>
              </w:rPr>
              <w:t>48.5</w:t>
            </w:r>
            <w:r>
              <w:rPr>
                <w:rFonts w:ascii="Times New Roman" w:hAnsi="Times New Roman" w:eastAsia="宋体"/>
                <w:sz w:val="24"/>
                <w:szCs w:val="24"/>
              </w:rPr>
              <w:t>dB(A)，昼间噪声最小监测值为</w:t>
            </w:r>
            <w:r>
              <w:rPr>
                <w:rFonts w:hint="eastAsia" w:ascii="Times New Roman" w:hAnsi="Times New Roman" w:eastAsia="宋体"/>
                <w:sz w:val="24"/>
                <w:szCs w:val="24"/>
              </w:rPr>
              <w:t>49.3</w:t>
            </w:r>
            <w:r>
              <w:rPr>
                <w:rFonts w:ascii="Times New Roman" w:hAnsi="Times New Roman" w:eastAsia="宋体"/>
                <w:sz w:val="24"/>
                <w:szCs w:val="24"/>
              </w:rPr>
              <w:t>dB(A)、最大监测值为</w:t>
            </w:r>
            <w:r>
              <w:rPr>
                <w:rFonts w:hint="eastAsia" w:ascii="Times New Roman" w:hAnsi="Times New Roman" w:eastAsia="宋体"/>
                <w:sz w:val="24"/>
                <w:szCs w:val="24"/>
              </w:rPr>
              <w:t>58.6</w:t>
            </w:r>
            <w:r>
              <w:rPr>
                <w:rFonts w:ascii="Times New Roman" w:hAnsi="Times New Roman" w:eastAsia="宋体"/>
                <w:sz w:val="24"/>
                <w:szCs w:val="24"/>
              </w:rPr>
              <w:t>dB(A)，满足《</w:t>
            </w:r>
            <w:r>
              <w:rPr>
                <w:rFonts w:hint="eastAsia" w:ascii="Times New Roman" w:hAnsi="Times New Roman" w:eastAsia="宋体"/>
                <w:sz w:val="24"/>
                <w:szCs w:val="24"/>
              </w:rPr>
              <w:t>工业企业厂界</w:t>
            </w:r>
            <w:r>
              <w:rPr>
                <w:rFonts w:ascii="Times New Roman" w:hAnsi="Times New Roman" w:eastAsia="宋体"/>
                <w:sz w:val="24"/>
                <w:szCs w:val="24"/>
              </w:rPr>
              <w:t>环境噪声排放标准》（GB</w:t>
            </w:r>
            <w:r>
              <w:rPr>
                <w:rFonts w:hint="eastAsia" w:ascii="Times New Roman" w:hAnsi="Times New Roman" w:eastAsia="宋体"/>
                <w:sz w:val="24"/>
                <w:szCs w:val="24"/>
              </w:rPr>
              <w:t>12348</w:t>
            </w:r>
            <w:r>
              <w:rPr>
                <w:rFonts w:ascii="Times New Roman" w:hAnsi="Times New Roman" w:eastAsia="宋体"/>
                <w:sz w:val="24"/>
                <w:szCs w:val="24"/>
              </w:rPr>
              <w:t>-2008）中</w:t>
            </w:r>
            <w:r>
              <w:rPr>
                <w:rFonts w:hint="eastAsia" w:ascii="Times New Roman" w:hAnsi="Times New Roman" w:eastAsia="宋体"/>
                <w:sz w:val="24"/>
                <w:szCs w:val="24"/>
              </w:rPr>
              <w:t>2</w:t>
            </w:r>
            <w:r>
              <w:rPr>
                <w:rFonts w:ascii="Times New Roman" w:hAnsi="Times New Roman" w:eastAsia="宋体"/>
                <w:sz w:val="24"/>
                <w:szCs w:val="24"/>
              </w:rPr>
              <w:t>类标准的要求。</w:t>
            </w:r>
            <w:r>
              <w:rPr>
                <w:rStyle w:val="20"/>
                <w:rFonts w:ascii="Times New Roman" w:hAnsi="Times New Roman" w:eastAsiaTheme="minorEastAsia"/>
                <w:color w:val="auto"/>
              </w:rPr>
              <w:t>本</w:t>
            </w:r>
            <w:r>
              <w:rPr>
                <w:rStyle w:val="20"/>
                <w:rFonts w:hint="default" w:ascii="Times New Roman" w:hAnsi="Times New Roman" w:eastAsiaTheme="minorEastAsia"/>
                <w:color w:val="auto"/>
              </w:rPr>
              <w:t>项目产生的固体废物得到妥善处理。本项目未设污染物总量控制，故不做计算及评价。</w:t>
            </w:r>
          </w:p>
          <w:p>
            <w:pPr>
              <w:widowControl w:val="0"/>
              <w:overflowPunct w:val="0"/>
              <w:spacing w:line="360" w:lineRule="auto"/>
              <w:ind w:firstLine="480" w:firstLineChars="200"/>
              <w:jc w:val="left"/>
            </w:pPr>
            <w:r>
              <w:rPr>
                <w:rStyle w:val="20"/>
                <w:rFonts w:hint="default" w:ascii="Times New Roman" w:hAnsi="Times New Roman"/>
              </w:rPr>
              <w:t>综上所述，</w:t>
            </w:r>
            <w:r>
              <w:rPr>
                <w:rStyle w:val="20"/>
                <w:rFonts w:ascii="Times New Roman" w:hAnsi="Times New Roman"/>
                <w:color w:val="auto"/>
              </w:rPr>
              <w:t>道真金瑞中心城一期房地产开发建设项目</w:t>
            </w:r>
            <w:r>
              <w:rPr>
                <w:rStyle w:val="20"/>
                <w:rFonts w:ascii="Times New Roman" w:hAnsi="Times New Roman"/>
              </w:rPr>
              <w:t>，</w:t>
            </w:r>
            <w:r>
              <w:rPr>
                <w:rStyle w:val="20"/>
                <w:rFonts w:ascii="Times New Roman" w:hAnsi="Times New Roman"/>
                <w:color w:val="auto"/>
              </w:rPr>
              <w:t>根据《中华人民共和国环境影响评价法》 和《建设项目环境保护管理条例》进行了环境影响评价，项目环保设施按照《道真金瑞中心城一期房地产开发建设项目</w:t>
            </w:r>
            <w:r>
              <w:rPr>
                <w:rStyle w:val="20"/>
                <w:rFonts w:hint="default" w:ascii="Times New Roman" w:hAnsi="Times New Roman"/>
              </w:rPr>
              <w:t>环境影响报告表</w:t>
            </w:r>
            <w:r>
              <w:rPr>
                <w:rStyle w:val="20"/>
                <w:rFonts w:ascii="Times New Roman" w:hAnsi="Times New Roman"/>
                <w:color w:val="auto"/>
              </w:rPr>
              <w:t>》及其批复文件的要求，</w:t>
            </w:r>
            <w:r>
              <w:rPr>
                <w:rStyle w:val="20"/>
                <w:rFonts w:hint="default" w:ascii="Times New Roman" w:hAnsi="Times New Roman"/>
                <w:color w:val="auto"/>
              </w:rPr>
              <w:t>做到了与主体工程同时设计、同时施工、同时运行，在</w:t>
            </w:r>
            <w:r>
              <w:rPr>
                <w:rStyle w:val="20"/>
                <w:rFonts w:ascii="Times New Roman" w:hAnsi="Times New Roman"/>
                <w:color w:val="auto"/>
              </w:rPr>
              <w:t>“</w:t>
            </w:r>
            <w:r>
              <w:rPr>
                <w:rStyle w:val="20"/>
                <w:rFonts w:hint="default" w:ascii="Times New Roman" w:hAnsi="Times New Roman"/>
                <w:color w:val="auto"/>
              </w:rPr>
              <w:t>三同时</w:t>
            </w:r>
            <w:r>
              <w:rPr>
                <w:rStyle w:val="20"/>
                <w:rFonts w:ascii="Times New Roman" w:hAnsi="Times New Roman"/>
                <w:color w:val="auto"/>
              </w:rPr>
              <w:t>”</w:t>
            </w:r>
            <w:r>
              <w:rPr>
                <w:rStyle w:val="20"/>
                <w:rFonts w:hint="default" w:ascii="Times New Roman" w:hAnsi="Times New Roman"/>
                <w:color w:val="auto"/>
              </w:rPr>
              <w:t>及</w:t>
            </w:r>
            <w:r>
              <w:rPr>
                <w:rStyle w:val="20"/>
                <w:rFonts w:ascii="Times New Roman" w:hAnsi="Times New Roman"/>
                <w:color w:val="auto"/>
              </w:rPr>
              <w:t>环保设施落实情况基本满足了</w:t>
            </w:r>
            <w:r>
              <w:rPr>
                <w:rStyle w:val="20"/>
                <w:rFonts w:ascii="Times New Roman" w:hAnsi="Times New Roman"/>
              </w:rPr>
              <w:t>道真仡佬族苗族自治县环境保护局道环评复</w:t>
            </w:r>
            <w:r>
              <w:rPr>
                <w:rStyle w:val="20"/>
                <w:rFonts w:ascii="Times New Roman" w:hAnsi="Times New Roman" w:eastAsiaTheme="minorEastAsia"/>
              </w:rPr>
              <w:t>[2014]85</w:t>
            </w:r>
            <w:r>
              <w:rPr>
                <w:rStyle w:val="20"/>
                <w:rFonts w:ascii="Times New Roman" w:hAnsi="Times New Roman"/>
              </w:rPr>
              <w:t>号</w:t>
            </w:r>
            <w:r>
              <w:rPr>
                <w:rStyle w:val="20"/>
                <w:rFonts w:ascii="Times New Roman" w:hAnsi="Times New Roman"/>
                <w:color w:val="auto"/>
              </w:rPr>
              <w:t>文件《道真金瑞中心城一期房地产开发建设项目</w:t>
            </w:r>
            <w:r>
              <w:rPr>
                <w:rStyle w:val="20"/>
                <w:rFonts w:hint="default" w:ascii="Times New Roman" w:hAnsi="Times New Roman"/>
              </w:rPr>
              <w:t>环境影响报告表</w:t>
            </w:r>
            <w:r>
              <w:rPr>
                <w:rStyle w:val="20"/>
                <w:rFonts w:ascii="Times New Roman" w:hAnsi="Times New Roman"/>
                <w:color w:val="auto"/>
              </w:rPr>
              <w:t>》</w:t>
            </w:r>
            <w:r>
              <w:rPr>
                <w:rStyle w:val="20"/>
                <w:rFonts w:ascii="Times New Roman" w:hAnsi="Times New Roman"/>
              </w:rPr>
              <w:t>的审批意见</w:t>
            </w:r>
            <w:r>
              <w:rPr>
                <w:rStyle w:val="20"/>
                <w:rFonts w:ascii="Times New Roman" w:hAnsi="Times New Roman"/>
                <w:color w:val="auto"/>
              </w:rPr>
              <w:t>对该项目的要求。</w:t>
            </w:r>
            <w:r>
              <w:rPr>
                <w:rStyle w:val="20"/>
                <w:rFonts w:ascii="Times New Roman" w:hAnsi="Times New Roman" w:eastAsiaTheme="minorEastAsia"/>
                <w:color w:val="auto"/>
              </w:rPr>
              <w:t>根据竣工环保验收监测、调查结果，项目总体上达到了建设项目竣工环境保护验收的条件，建议通过环境保护验收。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9854" w:type="dxa"/>
          </w:tcPr>
          <w:p>
            <w:pPr>
              <w:widowControl w:val="0"/>
              <w:overflowPunct w:val="0"/>
              <w:jc w:val="left"/>
              <w:rPr>
                <w:rFonts w:ascii="宋体" w:hAnsi="宋体" w:eastAsia="宋体"/>
                <w:b/>
                <w:bCs/>
                <w:color w:val="000000"/>
                <w:sz w:val="28"/>
                <w:szCs w:val="28"/>
              </w:rPr>
            </w:pPr>
            <w:r>
              <w:rPr>
                <w:rFonts w:hint="eastAsia" w:ascii="宋体" w:hAnsi="宋体" w:eastAsia="宋体"/>
                <w:b/>
                <w:bCs/>
                <w:color w:val="000000"/>
                <w:sz w:val="28"/>
                <w:szCs w:val="28"/>
              </w:rPr>
              <w:t>二、建议</w:t>
            </w:r>
          </w:p>
          <w:p>
            <w:pPr>
              <w:widowControl/>
              <w:spacing w:after="80"/>
              <w:ind w:firstLine="480" w:firstLineChars="200"/>
              <w:jc w:val="left"/>
              <w:rPr>
                <w:rStyle w:val="20"/>
                <w:rFonts w:hint="default" w:ascii="Times New Roman" w:hAnsi="Times New Roman"/>
                <w:color w:val="000000" w:themeColor="text1"/>
              </w:rPr>
            </w:pPr>
            <w:r>
              <w:rPr>
                <w:rStyle w:val="20"/>
                <w:rFonts w:ascii="Times New Roman" w:hAnsi="Times New Roman"/>
                <w:color w:val="000000" w:themeColor="text1"/>
              </w:rPr>
              <w:t>1、</w:t>
            </w:r>
            <w:r>
              <w:rPr>
                <w:rFonts w:ascii="Times New Roman" w:hAnsi="Times New Roman" w:eastAsia="宋体"/>
                <w:kern w:val="2"/>
                <w:sz w:val="24"/>
                <w:szCs w:val="24"/>
              </w:rPr>
              <w:t>加强污水处理设施（化粪池）的管理，定期清洗</w:t>
            </w:r>
            <w:r>
              <w:rPr>
                <w:rFonts w:hint="eastAsia" w:ascii="Times New Roman" w:hAnsi="Times New Roman" w:eastAsia="宋体"/>
                <w:kern w:val="2"/>
                <w:sz w:val="24"/>
                <w:szCs w:val="24"/>
              </w:rPr>
              <w:t>；</w:t>
            </w:r>
          </w:p>
          <w:p>
            <w:pPr>
              <w:widowControl/>
              <w:spacing w:after="80" w:line="360" w:lineRule="auto"/>
              <w:ind w:firstLine="480" w:firstLineChars="200"/>
              <w:jc w:val="left"/>
              <w:rPr>
                <w:rFonts w:ascii="Times New Roman" w:hAnsi="Times New Roman" w:eastAsia="宋体"/>
                <w:sz w:val="24"/>
                <w:szCs w:val="24"/>
              </w:rPr>
            </w:pPr>
            <w:r>
              <w:rPr>
                <w:rStyle w:val="20"/>
                <w:rFonts w:ascii="Times New Roman" w:hAnsi="Times New Roman"/>
                <w:color w:val="000000" w:themeColor="text1"/>
              </w:rPr>
              <w:t>2、合理规划项目区绿化，绿化面积应满足有关规定，绿化以树、灌、草等相结合的形式，美化环境。</w:t>
            </w:r>
          </w:p>
        </w:tc>
      </w:tr>
    </w:tbl>
    <w:p>
      <w:pPr>
        <w:pStyle w:val="2"/>
        <w:sectPr>
          <w:pgSz w:w="11906" w:h="16838"/>
          <w:pgMar w:top="1440" w:right="1134" w:bottom="1440" w:left="1134" w:header="709" w:footer="709" w:gutter="0"/>
          <w:cols w:space="0" w:num="1"/>
          <w:docGrid w:linePitch="312" w:charSpace="0"/>
        </w:sectPr>
      </w:pPr>
    </w:p>
    <w:p>
      <w:pPr>
        <w:jc w:val="center"/>
        <w:rPr>
          <w:rFonts w:eastAsia="黑体"/>
          <w:b/>
          <w:color w:val="000000"/>
          <w:sz w:val="36"/>
          <w:szCs w:val="36"/>
        </w:rPr>
      </w:pPr>
      <w:r>
        <w:rPr>
          <w:rFonts w:eastAsia="黑体"/>
          <w:b/>
          <w:color w:val="000000"/>
          <w:sz w:val="36"/>
          <w:szCs w:val="36"/>
        </w:rPr>
        <w:t>建设项目竣工环境保护</w:t>
      </w:r>
      <w:r>
        <w:rPr>
          <w:rFonts w:hint="eastAsia" w:eastAsia="黑体"/>
          <w:b/>
          <w:color w:val="000000"/>
          <w:sz w:val="36"/>
          <w:szCs w:val="36"/>
        </w:rPr>
        <w:t>“</w:t>
      </w:r>
      <w:r>
        <w:rPr>
          <w:rFonts w:eastAsia="黑体"/>
          <w:b/>
          <w:color w:val="000000"/>
          <w:sz w:val="36"/>
          <w:szCs w:val="36"/>
        </w:rPr>
        <w:t>三同时</w:t>
      </w:r>
      <w:r>
        <w:rPr>
          <w:rFonts w:hint="eastAsia" w:eastAsia="黑体"/>
          <w:b/>
          <w:color w:val="000000"/>
          <w:sz w:val="36"/>
          <w:szCs w:val="36"/>
        </w:rPr>
        <w:t>”</w:t>
      </w:r>
      <w:r>
        <w:rPr>
          <w:rFonts w:eastAsia="黑体"/>
          <w:b/>
          <w:color w:val="000000"/>
          <w:sz w:val="36"/>
          <w:szCs w:val="36"/>
        </w:rPr>
        <w:t>验收登记表</w:t>
      </w:r>
    </w:p>
    <w:p>
      <w:pPr>
        <w:spacing w:line="300" w:lineRule="exact"/>
        <w:jc w:val="center"/>
        <w:rPr>
          <w:rFonts w:eastAsia="黑体"/>
          <w:b/>
          <w:color w:val="000000"/>
          <w:sz w:val="21"/>
          <w:szCs w:val="21"/>
        </w:rPr>
      </w:pPr>
    </w:p>
    <w:p>
      <w:pPr>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w:t>
      </w:r>
      <w:r>
        <w:rPr>
          <w:rFonts w:hint="eastAsia" w:ascii="宋体" w:hAnsi="宋体" w:eastAsia="宋体"/>
          <w:b/>
          <w:color w:val="000000"/>
          <w:sz w:val="21"/>
          <w:szCs w:val="21"/>
        </w:rPr>
        <w:t xml:space="preserve">贵州鑫利源检测技术有限公司 </w:t>
      </w:r>
      <w:r>
        <w:rPr>
          <w:rFonts w:ascii="宋体" w:hAnsi="宋体" w:eastAsia="宋体"/>
          <w:b/>
          <w:color w:val="000000"/>
          <w:sz w:val="21"/>
          <w:szCs w:val="21"/>
        </w:rPr>
        <w:t xml:space="preserve">          </w:t>
      </w:r>
      <w:r>
        <w:rPr>
          <w:rFonts w:hint="eastAsia" w:ascii="宋体" w:hAnsi="宋体" w:eastAsia="宋体"/>
          <w:b/>
          <w:color w:val="000000"/>
          <w:sz w:val="21"/>
          <w:szCs w:val="21"/>
        </w:rPr>
        <w:t xml:space="preserve">        </w:t>
      </w:r>
      <w:r>
        <w:rPr>
          <w:rFonts w:ascii="宋体" w:hAnsi="宋体" w:eastAsia="宋体"/>
          <w:b/>
          <w:color w:val="000000"/>
          <w:sz w:val="21"/>
          <w:szCs w:val="21"/>
        </w:rPr>
        <w:t xml:space="preserve"> 填表人（签字）： </w:t>
      </w:r>
      <w:r>
        <w:rPr>
          <w:rFonts w:hint="eastAsia" w:ascii="宋体" w:hAnsi="宋体" w:eastAsia="宋体"/>
          <w:b/>
          <w:color w:val="000000"/>
          <w:sz w:val="21"/>
          <w:szCs w:val="21"/>
        </w:rPr>
        <w:t>陈丽</w:t>
      </w:r>
      <w:r>
        <w:rPr>
          <w:rFonts w:ascii="宋体" w:hAnsi="宋体" w:eastAsia="宋体"/>
          <w:b/>
          <w:color w:val="000000"/>
          <w:sz w:val="21"/>
          <w:szCs w:val="21"/>
        </w:rPr>
        <w:t xml:space="preserve">            项目经办人（签字）：</w:t>
      </w:r>
      <w:r>
        <w:rPr>
          <w:rFonts w:hint="eastAsia" w:ascii="宋体" w:hAnsi="宋体" w:eastAsia="宋体"/>
          <w:b/>
          <w:color w:val="000000"/>
          <w:sz w:val="21"/>
          <w:szCs w:val="21"/>
        </w:rPr>
        <w:t>罗如兰</w:t>
      </w:r>
    </w:p>
    <w:tbl>
      <w:tblPr>
        <w:tblStyle w:val="12"/>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699"/>
        <w:gridCol w:w="129"/>
        <w:gridCol w:w="1281"/>
        <w:gridCol w:w="98"/>
        <w:gridCol w:w="817"/>
        <w:gridCol w:w="280"/>
        <w:gridCol w:w="987"/>
        <w:gridCol w:w="6"/>
        <w:gridCol w:w="287"/>
        <w:gridCol w:w="812"/>
        <w:gridCol w:w="1137"/>
        <w:gridCol w:w="1189"/>
        <w:gridCol w:w="1520"/>
        <w:gridCol w:w="1100"/>
        <w:gridCol w:w="565"/>
        <w:gridCol w:w="679"/>
        <w:gridCol w:w="1102"/>
        <w:gridCol w:w="71"/>
        <w:gridCol w:w="7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0" w:type="dxa"/>
            <w:vMerge w:val="restart"/>
            <w:tcMar>
              <w:left w:w="57" w:type="dxa"/>
              <w:right w:w="57" w:type="dxa"/>
            </w:tcMar>
            <w:textDirection w:val="tbRlV"/>
            <w:vAlign w:val="center"/>
          </w:tcPr>
          <w:p>
            <w:pPr>
              <w:ind w:left="113" w:right="113"/>
              <w:jc w:val="center"/>
              <w:rPr>
                <w:rFonts w:ascii="Times New Roman" w:hAnsi="Times New Roman"/>
                <w:b/>
                <w:color w:val="000000"/>
                <w:kern w:val="2"/>
                <w:sz w:val="15"/>
                <w:szCs w:val="15"/>
              </w:rPr>
            </w:pPr>
            <w:r>
              <w:rPr>
                <w:rFonts w:ascii="Times New Roman" w:hAnsi="Times New Roman"/>
                <w:b/>
                <w:color w:val="000000"/>
                <w:kern w:val="2"/>
                <w:sz w:val="15"/>
                <w:szCs w:val="15"/>
              </w:rPr>
              <w:t>建设项目</w:t>
            </w:r>
          </w:p>
        </w:tc>
        <w:tc>
          <w:tcPr>
            <w:tcW w:w="1964" w:type="dxa"/>
            <w:gridSpan w:val="3"/>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项目名称</w:t>
            </w:r>
          </w:p>
        </w:tc>
        <w:tc>
          <w:tcPr>
            <w:tcW w:w="5396" w:type="dxa"/>
            <w:gridSpan w:val="10"/>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道真金瑞中心城一期房地产开发建设项目</w:t>
            </w:r>
          </w:p>
        </w:tc>
        <w:tc>
          <w:tcPr>
            <w:tcW w:w="2326"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项目代码</w:t>
            </w:r>
          </w:p>
        </w:tc>
        <w:tc>
          <w:tcPr>
            <w:tcW w:w="1520" w:type="dxa"/>
            <w:tcMar>
              <w:left w:w="57" w:type="dxa"/>
              <w:right w:w="57" w:type="dxa"/>
            </w:tcMar>
          </w:tcPr>
          <w:p>
            <w:pPr>
              <w:rPr>
                <w:rFonts w:ascii="Times New Roman" w:hAnsi="Times New Roman"/>
                <w:color w:val="000000"/>
                <w:kern w:val="2"/>
                <w:sz w:val="15"/>
                <w:szCs w:val="15"/>
              </w:rPr>
            </w:pPr>
          </w:p>
        </w:tc>
        <w:tc>
          <w:tcPr>
            <w:tcW w:w="1665" w:type="dxa"/>
            <w:gridSpan w:val="2"/>
            <w:tcMar>
              <w:left w:w="57" w:type="dxa"/>
              <w:right w:w="57" w:type="dxa"/>
            </w:tcMar>
            <w:vAlign w:val="center"/>
          </w:tcPr>
          <w:p>
            <w:pPr>
              <w:jc w:val="both"/>
              <w:rPr>
                <w:rFonts w:ascii="Times New Roman" w:hAnsi="Times New Roman"/>
                <w:color w:val="000000"/>
                <w:kern w:val="2"/>
                <w:sz w:val="15"/>
                <w:szCs w:val="15"/>
              </w:rPr>
            </w:pPr>
            <w:r>
              <w:rPr>
                <w:rFonts w:ascii="Times New Roman" w:hAnsi="Times New Roman"/>
                <w:b/>
                <w:color w:val="000000"/>
                <w:kern w:val="2"/>
                <w:sz w:val="15"/>
                <w:szCs w:val="15"/>
              </w:rPr>
              <w:t>建设地点</w:t>
            </w:r>
          </w:p>
        </w:tc>
        <w:tc>
          <w:tcPr>
            <w:tcW w:w="2575" w:type="dxa"/>
            <w:gridSpan w:val="4"/>
            <w:tcMar>
              <w:left w:w="57" w:type="dxa"/>
              <w:right w:w="57" w:type="dxa"/>
            </w:tcMar>
          </w:tcPr>
          <w:p>
            <w:pPr>
              <w:rPr>
                <w:rFonts w:ascii="Times New Roman" w:hAnsi="Times New Roman"/>
                <w:color w:val="000000"/>
                <w:kern w:val="2"/>
                <w:sz w:val="15"/>
                <w:szCs w:val="15"/>
              </w:rPr>
            </w:pPr>
            <w:r>
              <w:rPr>
                <w:rFonts w:hint="eastAsia" w:ascii="Times New Roman" w:hAnsi="Times New Roman"/>
                <w:color w:val="000000"/>
                <w:kern w:val="2"/>
                <w:sz w:val="15"/>
                <w:szCs w:val="15"/>
              </w:rPr>
              <w:t>道真县上坝乡八一村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行业类别（分类管理名录）</w:t>
            </w:r>
          </w:p>
        </w:tc>
        <w:tc>
          <w:tcPr>
            <w:tcW w:w="5396" w:type="dxa"/>
            <w:gridSpan w:val="10"/>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K7010 房地产开发经营</w:t>
            </w:r>
          </w:p>
        </w:tc>
        <w:tc>
          <w:tcPr>
            <w:tcW w:w="2326"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建设性质</w:t>
            </w:r>
          </w:p>
        </w:tc>
        <w:tc>
          <w:tcPr>
            <w:tcW w:w="3185" w:type="dxa"/>
            <w:gridSpan w:val="3"/>
            <w:tcMar>
              <w:left w:w="57" w:type="dxa"/>
              <w:right w:w="57" w:type="dxa"/>
            </w:tcMar>
          </w:tcPr>
          <w:p>
            <w:pPr>
              <w:rPr>
                <w:rFonts w:ascii="Times New Roman" w:hAnsi="Times New Roman"/>
                <w:color w:val="000000"/>
                <w:kern w:val="2"/>
                <w:sz w:val="15"/>
                <w:szCs w:val="15"/>
              </w:rPr>
            </w:pPr>
            <w:r>
              <w:rPr>
                <w:rFonts w:hint="eastAsia" w:ascii="Times New Roman" w:hAnsi="Times New Roman"/>
                <w:b/>
                <w:color w:val="000000"/>
                <w:kern w:val="2"/>
                <w:sz w:val="15"/>
                <w:szCs w:val="15"/>
              </w:rPr>
              <w:t>☑</w:t>
            </w:r>
            <w:r>
              <w:rPr>
                <w:rFonts w:ascii="Times New Roman" w:hAnsi="Times New Roman"/>
                <w:b/>
                <w:color w:val="000000"/>
                <w:kern w:val="2"/>
                <w:sz w:val="15"/>
                <w:szCs w:val="15"/>
              </w:rPr>
              <w:t xml:space="preserve">新建  □ 改扩建  </w:t>
            </w:r>
            <w:r>
              <w:rPr>
                <w:rFonts w:hint="eastAsia" w:ascii="Times New Roman" w:hAnsi="Times New Roman"/>
                <w:b/>
                <w:color w:val="000000"/>
                <w:kern w:val="2"/>
                <w:sz w:val="15"/>
                <w:szCs w:val="15"/>
              </w:rPr>
              <w:t>□</w:t>
            </w:r>
            <w:r>
              <w:rPr>
                <w:rFonts w:ascii="Times New Roman" w:hAnsi="Times New Roman"/>
                <w:b/>
                <w:color w:val="000000"/>
                <w:kern w:val="2"/>
                <w:sz w:val="15"/>
                <w:szCs w:val="15"/>
              </w:rPr>
              <w:t>技术改造</w:t>
            </w:r>
          </w:p>
        </w:tc>
        <w:tc>
          <w:tcPr>
            <w:tcW w:w="1852" w:type="dxa"/>
            <w:gridSpan w:val="3"/>
            <w:tcMar>
              <w:left w:w="57" w:type="dxa"/>
              <w:right w:w="57" w:type="dxa"/>
            </w:tcMar>
          </w:tcPr>
          <w:p>
            <w:pPr>
              <w:rPr>
                <w:rFonts w:ascii="Times New Roman" w:hAnsi="Times New Roman"/>
                <w:b/>
                <w:color w:val="000000"/>
                <w:kern w:val="2"/>
                <w:sz w:val="15"/>
                <w:szCs w:val="15"/>
              </w:rPr>
            </w:pPr>
            <w:r>
              <w:rPr>
                <w:rFonts w:ascii="Times New Roman" w:hAnsi="Times New Roman"/>
                <w:b/>
                <w:color w:val="000000"/>
                <w:kern w:val="2"/>
                <w:sz w:val="15"/>
                <w:szCs w:val="15"/>
              </w:rPr>
              <w:t>项目厂区中心经度/纬度</w:t>
            </w:r>
          </w:p>
        </w:tc>
        <w:tc>
          <w:tcPr>
            <w:tcW w:w="723" w:type="dxa"/>
            <w:tcMar>
              <w:left w:w="57" w:type="dxa"/>
              <w:right w:w="57" w:type="dxa"/>
            </w:tcMar>
          </w:tcPr>
          <w:p>
            <w:pP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设计生产能力</w:t>
            </w:r>
          </w:p>
        </w:tc>
        <w:tc>
          <w:tcPr>
            <w:tcW w:w="5396" w:type="dxa"/>
            <w:gridSpan w:val="10"/>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572</w:t>
            </w:r>
            <w:r>
              <w:rPr>
                <w:rFonts w:ascii="Times New Roman" w:hAnsi="Times New Roman"/>
                <w:color w:val="000000"/>
                <w:kern w:val="2"/>
                <w:sz w:val="15"/>
                <w:szCs w:val="15"/>
              </w:rPr>
              <w:t>套</w:t>
            </w:r>
          </w:p>
        </w:tc>
        <w:tc>
          <w:tcPr>
            <w:tcW w:w="2326" w:type="dxa"/>
            <w:gridSpan w:val="2"/>
            <w:tcMar>
              <w:left w:w="57" w:type="dxa"/>
              <w:right w:w="57" w:type="dxa"/>
            </w:tcMar>
          </w:tcPr>
          <w:p>
            <w:pPr>
              <w:rPr>
                <w:rFonts w:ascii="Times New Roman" w:hAnsi="Times New Roman"/>
                <w:color w:val="000000"/>
                <w:kern w:val="2"/>
                <w:sz w:val="15"/>
                <w:szCs w:val="15"/>
              </w:rPr>
            </w:pPr>
            <w:r>
              <w:rPr>
                <w:rFonts w:ascii="Times New Roman" w:hAnsi="Times New Roman"/>
                <w:b/>
                <w:color w:val="000000"/>
                <w:kern w:val="2"/>
                <w:sz w:val="15"/>
                <w:szCs w:val="15"/>
              </w:rPr>
              <w:t>实际生产能力</w:t>
            </w:r>
          </w:p>
        </w:tc>
        <w:tc>
          <w:tcPr>
            <w:tcW w:w="1520" w:type="dxa"/>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458套</w:t>
            </w:r>
          </w:p>
        </w:tc>
        <w:tc>
          <w:tcPr>
            <w:tcW w:w="1665" w:type="dxa"/>
            <w:gridSpan w:val="2"/>
            <w:tcMar>
              <w:left w:w="57" w:type="dxa"/>
              <w:right w:w="57" w:type="dxa"/>
            </w:tcMar>
          </w:tcPr>
          <w:p>
            <w:pPr>
              <w:rPr>
                <w:rFonts w:ascii="Times New Roman" w:hAnsi="Times New Roman"/>
                <w:color w:val="000000"/>
                <w:kern w:val="2"/>
                <w:sz w:val="15"/>
                <w:szCs w:val="15"/>
              </w:rPr>
            </w:pPr>
            <w:r>
              <w:rPr>
                <w:rFonts w:ascii="Times New Roman" w:hAnsi="Times New Roman"/>
                <w:b/>
                <w:color w:val="000000"/>
                <w:kern w:val="2"/>
                <w:sz w:val="15"/>
                <w:szCs w:val="15"/>
              </w:rPr>
              <w:t>环评单位</w:t>
            </w:r>
          </w:p>
        </w:tc>
        <w:tc>
          <w:tcPr>
            <w:tcW w:w="2575" w:type="dxa"/>
            <w:gridSpan w:val="4"/>
            <w:tcMar>
              <w:left w:w="57" w:type="dxa"/>
              <w:right w:w="57" w:type="dxa"/>
            </w:tcMar>
          </w:tcPr>
          <w:p>
            <w:pPr>
              <w:rPr>
                <w:rFonts w:ascii="Times New Roman" w:hAnsi="Times New Roman"/>
                <w:color w:val="000000"/>
                <w:kern w:val="2"/>
                <w:sz w:val="15"/>
                <w:szCs w:val="15"/>
              </w:rPr>
            </w:pPr>
            <w:r>
              <w:rPr>
                <w:rFonts w:hint="eastAsia" w:ascii="Times New Roman" w:hAnsi="Times New Roman"/>
                <w:kern w:val="2"/>
                <w:sz w:val="15"/>
                <w:szCs w:val="15"/>
              </w:rPr>
              <w:t>广州市环境保护工程设计院有限公司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环评文件审批机关</w:t>
            </w:r>
          </w:p>
        </w:tc>
        <w:tc>
          <w:tcPr>
            <w:tcW w:w="5396" w:type="dxa"/>
            <w:gridSpan w:val="10"/>
            <w:tcMar>
              <w:left w:w="57" w:type="dxa"/>
              <w:right w:w="57" w:type="dxa"/>
            </w:tcMar>
            <w:vAlign w:val="center"/>
          </w:tcPr>
          <w:p>
            <w:pPr>
              <w:rPr>
                <w:rFonts w:ascii="Times New Roman" w:hAnsi="Times New Roman"/>
                <w:kern w:val="2"/>
                <w:sz w:val="15"/>
                <w:szCs w:val="15"/>
              </w:rPr>
            </w:pPr>
            <w:r>
              <w:rPr>
                <w:rFonts w:hint="eastAsia" w:ascii="Times New Roman" w:hAnsi="Times New Roman"/>
                <w:kern w:val="2"/>
                <w:sz w:val="15"/>
                <w:szCs w:val="15"/>
              </w:rPr>
              <w:t>道真仡佬族苗族自治县环境保护局</w:t>
            </w:r>
          </w:p>
        </w:tc>
        <w:tc>
          <w:tcPr>
            <w:tcW w:w="2326" w:type="dxa"/>
            <w:gridSpan w:val="2"/>
            <w:tcMar>
              <w:left w:w="57" w:type="dxa"/>
              <w:right w:w="57" w:type="dxa"/>
            </w:tcMar>
            <w:vAlign w:val="center"/>
          </w:tcPr>
          <w:p>
            <w:pPr>
              <w:rPr>
                <w:rFonts w:ascii="Times New Roman" w:hAnsi="Times New Roman"/>
                <w:b/>
                <w:kern w:val="2"/>
                <w:sz w:val="15"/>
                <w:szCs w:val="15"/>
              </w:rPr>
            </w:pPr>
            <w:r>
              <w:rPr>
                <w:rFonts w:ascii="Times New Roman" w:hAnsi="Times New Roman"/>
                <w:b/>
                <w:kern w:val="2"/>
                <w:sz w:val="15"/>
                <w:szCs w:val="15"/>
              </w:rPr>
              <w:t>审批文号</w:t>
            </w:r>
          </w:p>
        </w:tc>
        <w:tc>
          <w:tcPr>
            <w:tcW w:w="1520" w:type="dxa"/>
            <w:tcMar>
              <w:left w:w="57" w:type="dxa"/>
              <w:right w:w="57" w:type="dxa"/>
            </w:tcMar>
          </w:tcPr>
          <w:p>
            <w:pPr>
              <w:rPr>
                <w:rFonts w:ascii="Times New Roman" w:hAnsi="Times New Roman"/>
                <w:kern w:val="2"/>
                <w:sz w:val="15"/>
                <w:szCs w:val="15"/>
              </w:rPr>
            </w:pPr>
            <w:r>
              <w:rPr>
                <w:rFonts w:hint="eastAsia" w:ascii="Times New Roman" w:hAnsi="Times New Roman"/>
                <w:kern w:val="2"/>
                <w:sz w:val="15"/>
                <w:szCs w:val="15"/>
              </w:rPr>
              <w:t>道环评复[2014]85号</w:t>
            </w:r>
          </w:p>
        </w:tc>
        <w:tc>
          <w:tcPr>
            <w:tcW w:w="1665"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环评文件类型</w:t>
            </w:r>
          </w:p>
        </w:tc>
        <w:tc>
          <w:tcPr>
            <w:tcW w:w="2575" w:type="dxa"/>
            <w:gridSpan w:val="4"/>
            <w:tcMar>
              <w:left w:w="57" w:type="dxa"/>
              <w:right w:w="57" w:type="dxa"/>
            </w:tcMar>
          </w:tcPr>
          <w:p>
            <w:pPr>
              <w:rPr>
                <w:rFonts w:ascii="Times New Roman" w:hAnsi="Times New Roman"/>
                <w:color w:val="000000"/>
                <w:kern w:val="2"/>
                <w:sz w:val="15"/>
                <w:szCs w:val="15"/>
              </w:rPr>
            </w:pPr>
            <w:r>
              <w:rPr>
                <w:rFonts w:ascii="Times New Roman" w:hAnsi="Times New Roman"/>
                <w:color w:val="000000"/>
                <w:kern w:val="2"/>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开工日期</w:t>
            </w:r>
          </w:p>
        </w:tc>
        <w:tc>
          <w:tcPr>
            <w:tcW w:w="5396" w:type="dxa"/>
            <w:gridSpan w:val="10"/>
            <w:tcMar>
              <w:left w:w="57" w:type="dxa"/>
              <w:right w:w="57" w:type="dxa"/>
            </w:tcMar>
            <w:vAlign w:val="center"/>
          </w:tcPr>
          <w:p>
            <w:pPr>
              <w:rPr>
                <w:rFonts w:ascii="Times New Roman" w:hAnsi="Times New Roman"/>
                <w:kern w:val="2"/>
                <w:sz w:val="15"/>
                <w:szCs w:val="15"/>
              </w:rPr>
            </w:pPr>
            <w:r>
              <w:rPr>
                <w:rFonts w:ascii="Times New Roman" w:hAnsi="Times New Roman"/>
                <w:kern w:val="2"/>
                <w:sz w:val="15"/>
                <w:szCs w:val="15"/>
              </w:rPr>
              <w:t>201</w:t>
            </w:r>
            <w:r>
              <w:rPr>
                <w:rFonts w:hint="eastAsia" w:ascii="Times New Roman" w:hAnsi="Times New Roman"/>
                <w:kern w:val="2"/>
                <w:sz w:val="15"/>
                <w:szCs w:val="15"/>
              </w:rPr>
              <w:t>5</w:t>
            </w:r>
            <w:r>
              <w:rPr>
                <w:rFonts w:ascii="Times New Roman" w:hAnsi="Times New Roman"/>
                <w:kern w:val="2"/>
                <w:sz w:val="15"/>
                <w:szCs w:val="15"/>
              </w:rPr>
              <w:t>年</w:t>
            </w:r>
            <w:r>
              <w:rPr>
                <w:rFonts w:hint="eastAsia" w:ascii="Times New Roman" w:hAnsi="Times New Roman"/>
                <w:kern w:val="2"/>
                <w:sz w:val="15"/>
                <w:szCs w:val="15"/>
              </w:rPr>
              <w:t>4</w:t>
            </w:r>
            <w:r>
              <w:rPr>
                <w:rFonts w:ascii="Times New Roman" w:hAnsi="Times New Roman"/>
                <w:kern w:val="2"/>
                <w:sz w:val="15"/>
                <w:szCs w:val="15"/>
              </w:rPr>
              <w:t>月</w:t>
            </w:r>
          </w:p>
        </w:tc>
        <w:tc>
          <w:tcPr>
            <w:tcW w:w="2326" w:type="dxa"/>
            <w:gridSpan w:val="2"/>
            <w:tcMar>
              <w:left w:w="57" w:type="dxa"/>
              <w:right w:w="57" w:type="dxa"/>
            </w:tcMar>
            <w:vAlign w:val="center"/>
          </w:tcPr>
          <w:p>
            <w:pPr>
              <w:rPr>
                <w:rFonts w:ascii="Times New Roman" w:hAnsi="Times New Roman"/>
                <w:b/>
                <w:kern w:val="2"/>
                <w:sz w:val="15"/>
                <w:szCs w:val="15"/>
              </w:rPr>
            </w:pPr>
            <w:r>
              <w:rPr>
                <w:rFonts w:ascii="Times New Roman" w:hAnsi="Times New Roman"/>
                <w:b/>
                <w:kern w:val="2"/>
                <w:sz w:val="15"/>
                <w:szCs w:val="15"/>
              </w:rPr>
              <w:t>竣工日期</w:t>
            </w:r>
          </w:p>
        </w:tc>
        <w:tc>
          <w:tcPr>
            <w:tcW w:w="1520" w:type="dxa"/>
            <w:tcMar>
              <w:left w:w="57" w:type="dxa"/>
              <w:right w:w="57" w:type="dxa"/>
            </w:tcMar>
            <w:vAlign w:val="center"/>
          </w:tcPr>
          <w:p>
            <w:pPr>
              <w:rPr>
                <w:rFonts w:ascii="Times New Roman" w:hAnsi="Times New Roman"/>
                <w:kern w:val="2"/>
                <w:sz w:val="15"/>
                <w:szCs w:val="15"/>
              </w:rPr>
            </w:pPr>
            <w:r>
              <w:rPr>
                <w:rFonts w:ascii="Times New Roman" w:hAnsi="Times New Roman"/>
                <w:kern w:val="2"/>
                <w:sz w:val="15"/>
                <w:szCs w:val="15"/>
              </w:rPr>
              <w:t>201</w:t>
            </w:r>
            <w:r>
              <w:rPr>
                <w:rFonts w:hint="eastAsia" w:ascii="Times New Roman" w:hAnsi="Times New Roman"/>
                <w:kern w:val="2"/>
                <w:sz w:val="15"/>
                <w:szCs w:val="15"/>
              </w:rPr>
              <w:t>8</w:t>
            </w:r>
            <w:r>
              <w:rPr>
                <w:rFonts w:ascii="Times New Roman" w:hAnsi="Times New Roman"/>
                <w:kern w:val="2"/>
                <w:sz w:val="15"/>
                <w:szCs w:val="15"/>
              </w:rPr>
              <w:t>年</w:t>
            </w:r>
            <w:r>
              <w:rPr>
                <w:rFonts w:hint="eastAsia" w:ascii="Times New Roman" w:hAnsi="Times New Roman"/>
                <w:kern w:val="2"/>
                <w:sz w:val="15"/>
                <w:szCs w:val="15"/>
              </w:rPr>
              <w:t>10</w:t>
            </w:r>
            <w:r>
              <w:rPr>
                <w:rFonts w:ascii="Times New Roman" w:hAnsi="Times New Roman"/>
                <w:kern w:val="2"/>
                <w:sz w:val="15"/>
                <w:szCs w:val="15"/>
              </w:rPr>
              <w:t>月</w:t>
            </w:r>
          </w:p>
        </w:tc>
        <w:tc>
          <w:tcPr>
            <w:tcW w:w="1665"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排污许可证申领时间</w:t>
            </w:r>
          </w:p>
        </w:tc>
        <w:tc>
          <w:tcPr>
            <w:tcW w:w="2575" w:type="dxa"/>
            <w:gridSpan w:val="4"/>
            <w:tcMar>
              <w:left w:w="57" w:type="dxa"/>
              <w:right w:w="57" w:type="dxa"/>
            </w:tcMar>
          </w:tcPr>
          <w:p>
            <w:pP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环保设施设计单位</w:t>
            </w:r>
          </w:p>
        </w:tc>
        <w:tc>
          <w:tcPr>
            <w:tcW w:w="5396" w:type="dxa"/>
            <w:gridSpan w:val="10"/>
            <w:tcMar>
              <w:left w:w="57" w:type="dxa"/>
              <w:right w:w="57" w:type="dxa"/>
            </w:tcMar>
            <w:vAlign w:val="center"/>
          </w:tcPr>
          <w:p>
            <w:pPr>
              <w:rPr>
                <w:rFonts w:ascii="Times New Roman" w:hAnsi="Times New Roman"/>
                <w:color w:val="000000"/>
                <w:kern w:val="2"/>
                <w:sz w:val="15"/>
                <w:szCs w:val="15"/>
              </w:rPr>
            </w:pPr>
          </w:p>
        </w:tc>
        <w:tc>
          <w:tcPr>
            <w:tcW w:w="2326" w:type="dxa"/>
            <w:gridSpan w:val="2"/>
            <w:tcMar>
              <w:left w:w="57" w:type="dxa"/>
              <w:right w:w="57" w:type="dxa"/>
            </w:tcMar>
            <w:vAlign w:val="center"/>
          </w:tcPr>
          <w:p>
            <w:pPr>
              <w:rPr>
                <w:rFonts w:ascii="Times New Roman" w:hAnsi="Times New Roman"/>
                <w:b/>
                <w:color w:val="000000"/>
                <w:sz w:val="15"/>
                <w:szCs w:val="15"/>
              </w:rPr>
            </w:pPr>
            <w:r>
              <w:rPr>
                <w:rFonts w:ascii="Times New Roman" w:hAnsi="Times New Roman"/>
                <w:b/>
                <w:color w:val="000000"/>
                <w:sz w:val="15"/>
                <w:szCs w:val="15"/>
              </w:rPr>
              <w:t>环保设施施工单位</w:t>
            </w:r>
          </w:p>
        </w:tc>
        <w:tc>
          <w:tcPr>
            <w:tcW w:w="1520" w:type="dxa"/>
            <w:tcMar>
              <w:left w:w="57" w:type="dxa"/>
              <w:right w:w="57" w:type="dxa"/>
            </w:tcMar>
          </w:tcPr>
          <w:p>
            <w:pPr>
              <w:rPr>
                <w:rFonts w:ascii="Times New Roman" w:hAnsi="Times New Roman"/>
                <w:color w:val="000000"/>
                <w:kern w:val="2"/>
                <w:sz w:val="15"/>
                <w:szCs w:val="15"/>
              </w:rPr>
            </w:pPr>
          </w:p>
        </w:tc>
        <w:tc>
          <w:tcPr>
            <w:tcW w:w="1665"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本工程排污许可证编号</w:t>
            </w:r>
          </w:p>
        </w:tc>
        <w:tc>
          <w:tcPr>
            <w:tcW w:w="2575" w:type="dxa"/>
            <w:gridSpan w:val="4"/>
            <w:tcMar>
              <w:left w:w="57" w:type="dxa"/>
              <w:right w:w="57" w:type="dxa"/>
            </w:tcMar>
          </w:tcPr>
          <w:p>
            <w:pP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b/>
                <w:color w:val="000000"/>
                <w:sz w:val="15"/>
                <w:szCs w:val="15"/>
              </w:rPr>
            </w:pPr>
            <w:r>
              <w:rPr>
                <w:rFonts w:ascii="Times New Roman" w:hAnsi="Times New Roman"/>
                <w:b/>
                <w:color w:val="000000"/>
                <w:sz w:val="15"/>
                <w:szCs w:val="15"/>
              </w:rPr>
              <w:t>验收单位</w:t>
            </w:r>
          </w:p>
        </w:tc>
        <w:tc>
          <w:tcPr>
            <w:tcW w:w="5396" w:type="dxa"/>
            <w:gridSpan w:val="10"/>
            <w:tcMar>
              <w:left w:w="57" w:type="dxa"/>
              <w:right w:w="57" w:type="dxa"/>
            </w:tcMar>
            <w:vAlign w:val="center"/>
          </w:tcPr>
          <w:p>
            <w:pPr>
              <w:rPr>
                <w:rFonts w:ascii="Times New Roman" w:hAnsi="Times New Roman"/>
                <w:color w:val="000000"/>
                <w:kern w:val="2"/>
                <w:sz w:val="15"/>
                <w:szCs w:val="15"/>
              </w:rPr>
            </w:pPr>
            <w:r>
              <w:rPr>
                <w:rFonts w:ascii="Times New Roman" w:hAnsi="Times New Roman"/>
                <w:color w:val="000000"/>
                <w:kern w:val="2"/>
                <w:sz w:val="15"/>
                <w:szCs w:val="15"/>
              </w:rPr>
              <w:t>贵州鑫利源检测技术有限公司</w:t>
            </w:r>
          </w:p>
        </w:tc>
        <w:tc>
          <w:tcPr>
            <w:tcW w:w="2326"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环保设施监测单位</w:t>
            </w:r>
          </w:p>
        </w:tc>
        <w:tc>
          <w:tcPr>
            <w:tcW w:w="1520" w:type="dxa"/>
            <w:tcMar>
              <w:left w:w="57" w:type="dxa"/>
              <w:right w:w="57" w:type="dxa"/>
            </w:tcMar>
          </w:tcPr>
          <w:p>
            <w:pPr>
              <w:rPr>
                <w:rFonts w:ascii="Times New Roman" w:hAnsi="Times New Roman"/>
                <w:color w:val="000000"/>
                <w:kern w:val="2"/>
                <w:sz w:val="15"/>
                <w:szCs w:val="15"/>
              </w:rPr>
            </w:pPr>
          </w:p>
        </w:tc>
        <w:tc>
          <w:tcPr>
            <w:tcW w:w="1665" w:type="dxa"/>
            <w:gridSpan w:val="2"/>
            <w:tcMar>
              <w:left w:w="57" w:type="dxa"/>
              <w:right w:w="57" w:type="dxa"/>
            </w:tcMar>
          </w:tcPr>
          <w:p>
            <w:pPr>
              <w:rPr>
                <w:rFonts w:ascii="Times New Roman" w:hAnsi="Times New Roman"/>
                <w:b/>
                <w:color w:val="000000"/>
                <w:kern w:val="2"/>
                <w:sz w:val="15"/>
                <w:szCs w:val="15"/>
              </w:rPr>
            </w:pPr>
            <w:r>
              <w:rPr>
                <w:rFonts w:ascii="Times New Roman" w:hAnsi="Times New Roman"/>
                <w:b/>
                <w:color w:val="000000"/>
                <w:kern w:val="2"/>
                <w:sz w:val="15"/>
                <w:szCs w:val="15"/>
              </w:rPr>
              <w:t>验收监测时工况</w:t>
            </w:r>
          </w:p>
        </w:tc>
        <w:tc>
          <w:tcPr>
            <w:tcW w:w="2575" w:type="dxa"/>
            <w:gridSpan w:val="4"/>
            <w:tcMar>
              <w:left w:w="57" w:type="dxa"/>
              <w:right w:w="57" w:type="dxa"/>
            </w:tcMar>
          </w:tcPr>
          <w:p>
            <w:pP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投资总概算（万元）</w:t>
            </w:r>
          </w:p>
        </w:tc>
        <w:tc>
          <w:tcPr>
            <w:tcW w:w="5396" w:type="dxa"/>
            <w:gridSpan w:val="10"/>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25000</w:t>
            </w:r>
          </w:p>
        </w:tc>
        <w:tc>
          <w:tcPr>
            <w:tcW w:w="2326" w:type="dxa"/>
            <w:gridSpan w:val="2"/>
            <w:tcMar>
              <w:left w:w="57" w:type="dxa"/>
              <w:right w:w="57" w:type="dxa"/>
            </w:tcMar>
            <w:vAlign w:val="center"/>
          </w:tcPr>
          <w:p>
            <w:pPr>
              <w:tabs>
                <w:tab w:val="left" w:pos="690"/>
              </w:tabs>
              <w:rPr>
                <w:rFonts w:ascii="Times New Roman" w:hAnsi="Times New Roman"/>
                <w:color w:val="000000"/>
                <w:kern w:val="2"/>
                <w:sz w:val="15"/>
                <w:szCs w:val="15"/>
              </w:rPr>
            </w:pPr>
            <w:r>
              <w:rPr>
                <w:rFonts w:ascii="Times New Roman" w:hAnsi="Times New Roman"/>
                <w:b/>
                <w:color w:val="000000"/>
                <w:kern w:val="2"/>
                <w:sz w:val="15"/>
                <w:szCs w:val="15"/>
              </w:rPr>
              <w:t>环保投资总概算（万元）</w:t>
            </w:r>
          </w:p>
        </w:tc>
        <w:tc>
          <w:tcPr>
            <w:tcW w:w="1520" w:type="dxa"/>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500</w:t>
            </w:r>
          </w:p>
        </w:tc>
        <w:tc>
          <w:tcPr>
            <w:tcW w:w="1665" w:type="dxa"/>
            <w:gridSpan w:val="2"/>
            <w:tcMar>
              <w:left w:w="57" w:type="dxa"/>
              <w:right w:w="57" w:type="dxa"/>
            </w:tcMar>
            <w:vAlign w:val="center"/>
          </w:tcPr>
          <w:p>
            <w:pPr>
              <w:tabs>
                <w:tab w:val="left" w:pos="690"/>
              </w:tabs>
              <w:rPr>
                <w:rFonts w:ascii="Times New Roman" w:hAnsi="Times New Roman"/>
                <w:color w:val="000000"/>
                <w:kern w:val="2"/>
                <w:sz w:val="15"/>
                <w:szCs w:val="15"/>
              </w:rPr>
            </w:pPr>
            <w:r>
              <w:rPr>
                <w:rFonts w:ascii="Times New Roman" w:hAnsi="Times New Roman"/>
                <w:b/>
                <w:color w:val="000000"/>
                <w:kern w:val="2"/>
                <w:sz w:val="15"/>
                <w:szCs w:val="15"/>
              </w:rPr>
              <w:t>所占比例（%）</w:t>
            </w:r>
          </w:p>
        </w:tc>
        <w:tc>
          <w:tcPr>
            <w:tcW w:w="2575" w:type="dxa"/>
            <w:gridSpan w:val="4"/>
            <w:tcMar>
              <w:left w:w="57" w:type="dxa"/>
              <w:right w:w="57" w:type="dxa"/>
            </w:tcMar>
            <w:vAlign w:val="center"/>
          </w:tcPr>
          <w:p>
            <w:pPr>
              <w:rPr>
                <w:rFonts w:ascii="Times New Roman" w:hAnsi="Times New Roman"/>
                <w:color w:val="000000"/>
                <w:kern w:val="2"/>
                <w:sz w:val="15"/>
                <w:szCs w:val="15"/>
              </w:rPr>
            </w:pPr>
            <w:r>
              <w:rPr>
                <w:rFonts w:hint="eastAsia" w:ascii="Times New Roman" w:hAnsi="Times New Roman"/>
                <w:color w:val="000000"/>
                <w:kern w:val="2"/>
                <w:sz w:val="15"/>
                <w:szCs w:val="15"/>
              </w:rPr>
              <w:t>2</w:t>
            </w:r>
            <w:r>
              <w:rPr>
                <w:rFonts w:ascii="Times New Roman" w:hAnsi="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tcPr>
          <w:p>
            <w:pPr>
              <w:rPr>
                <w:rFonts w:ascii="Times New Roman" w:hAnsi="Times New Roman"/>
                <w:color w:val="000000"/>
                <w:kern w:val="2"/>
                <w:sz w:val="15"/>
                <w:szCs w:val="15"/>
              </w:rPr>
            </w:pPr>
            <w:r>
              <w:rPr>
                <w:rFonts w:ascii="Times New Roman" w:hAnsi="Times New Roman"/>
                <w:b/>
                <w:color w:val="000000"/>
                <w:kern w:val="2"/>
                <w:sz w:val="15"/>
                <w:szCs w:val="15"/>
              </w:rPr>
              <w:t>实际总投资</w:t>
            </w:r>
          </w:p>
        </w:tc>
        <w:tc>
          <w:tcPr>
            <w:tcW w:w="5396" w:type="dxa"/>
            <w:gridSpan w:val="10"/>
            <w:tcMar>
              <w:left w:w="57" w:type="dxa"/>
              <w:right w:w="57" w:type="dxa"/>
            </w:tcMar>
          </w:tcPr>
          <w:p>
            <w:pPr>
              <w:rPr>
                <w:rFonts w:ascii="Times New Roman" w:hAnsi="Times New Roman"/>
                <w:color w:val="000000"/>
                <w:kern w:val="2"/>
                <w:sz w:val="15"/>
                <w:szCs w:val="15"/>
              </w:rPr>
            </w:pPr>
          </w:p>
        </w:tc>
        <w:tc>
          <w:tcPr>
            <w:tcW w:w="2326" w:type="dxa"/>
            <w:gridSpan w:val="2"/>
            <w:tcMar>
              <w:left w:w="57" w:type="dxa"/>
              <w:right w:w="57" w:type="dxa"/>
            </w:tcMar>
            <w:vAlign w:val="center"/>
          </w:tcPr>
          <w:p>
            <w:pPr>
              <w:ind w:right="300"/>
              <w:rPr>
                <w:rFonts w:ascii="Times New Roman" w:hAnsi="Times New Roman"/>
                <w:b/>
                <w:color w:val="000000"/>
                <w:kern w:val="2"/>
                <w:sz w:val="15"/>
                <w:szCs w:val="15"/>
              </w:rPr>
            </w:pPr>
            <w:r>
              <w:rPr>
                <w:rFonts w:ascii="Times New Roman" w:hAnsi="Times New Roman"/>
                <w:b/>
                <w:color w:val="000000"/>
                <w:kern w:val="2"/>
                <w:sz w:val="15"/>
                <w:szCs w:val="15"/>
              </w:rPr>
              <w:t>实际环保投资（万元）</w:t>
            </w:r>
          </w:p>
        </w:tc>
        <w:tc>
          <w:tcPr>
            <w:tcW w:w="1520" w:type="dxa"/>
            <w:tcMar>
              <w:left w:w="57" w:type="dxa"/>
              <w:right w:w="57" w:type="dxa"/>
            </w:tcMar>
          </w:tcPr>
          <w:p>
            <w:pPr>
              <w:rPr>
                <w:rFonts w:ascii="Times New Roman" w:hAnsi="Times New Roman"/>
                <w:color w:val="000000"/>
                <w:kern w:val="2"/>
                <w:sz w:val="15"/>
                <w:szCs w:val="15"/>
              </w:rPr>
            </w:pPr>
          </w:p>
        </w:tc>
        <w:tc>
          <w:tcPr>
            <w:tcW w:w="1665"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所占比例（%）</w:t>
            </w:r>
          </w:p>
        </w:tc>
        <w:tc>
          <w:tcPr>
            <w:tcW w:w="2575" w:type="dxa"/>
            <w:gridSpan w:val="4"/>
            <w:tcMar>
              <w:left w:w="57" w:type="dxa"/>
              <w:right w:w="57" w:type="dxa"/>
            </w:tcMar>
          </w:tcPr>
          <w:p>
            <w:pP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废水治理（万元）</w:t>
            </w:r>
          </w:p>
        </w:tc>
        <w:tc>
          <w:tcPr>
            <w:tcW w:w="699" w:type="dxa"/>
            <w:tcMar>
              <w:left w:w="57" w:type="dxa"/>
              <w:right w:w="57" w:type="dxa"/>
            </w:tcMar>
            <w:vAlign w:val="center"/>
          </w:tcPr>
          <w:p>
            <w:pPr>
              <w:jc w:val="center"/>
              <w:rPr>
                <w:rFonts w:ascii="Times New Roman" w:hAnsi="Times New Roman"/>
                <w:color w:val="000000"/>
                <w:kern w:val="2"/>
                <w:sz w:val="15"/>
                <w:szCs w:val="15"/>
              </w:rPr>
            </w:pPr>
          </w:p>
        </w:tc>
        <w:tc>
          <w:tcPr>
            <w:tcW w:w="1410" w:type="dxa"/>
            <w:gridSpan w:val="2"/>
            <w:tcMar>
              <w:left w:w="57" w:type="dxa"/>
              <w:right w:w="57" w:type="dxa"/>
            </w:tcMar>
            <w:vAlign w:val="center"/>
          </w:tcPr>
          <w:p>
            <w:pPr>
              <w:jc w:val="center"/>
              <w:rPr>
                <w:rFonts w:ascii="Times New Roman" w:hAnsi="Times New Roman"/>
                <w:b/>
                <w:color w:val="000000"/>
                <w:kern w:val="2"/>
                <w:sz w:val="15"/>
                <w:szCs w:val="15"/>
              </w:rPr>
            </w:pPr>
            <w:r>
              <w:rPr>
                <w:rFonts w:ascii="Times New Roman" w:hAnsi="Times New Roman"/>
                <w:b/>
                <w:color w:val="000000"/>
                <w:kern w:val="2"/>
                <w:sz w:val="15"/>
                <w:szCs w:val="15"/>
              </w:rPr>
              <w:t>废气治理（万元）</w:t>
            </w:r>
          </w:p>
        </w:tc>
        <w:tc>
          <w:tcPr>
            <w:tcW w:w="915" w:type="dxa"/>
            <w:gridSpan w:val="2"/>
            <w:tcMar>
              <w:left w:w="57" w:type="dxa"/>
              <w:right w:w="57" w:type="dxa"/>
            </w:tcMar>
            <w:vAlign w:val="center"/>
          </w:tcPr>
          <w:p>
            <w:pPr>
              <w:jc w:val="center"/>
              <w:rPr>
                <w:rFonts w:ascii="Times New Roman" w:hAnsi="Times New Roman"/>
                <w:color w:val="000000"/>
                <w:kern w:val="2"/>
                <w:sz w:val="15"/>
                <w:szCs w:val="15"/>
              </w:rPr>
            </w:pPr>
          </w:p>
        </w:tc>
        <w:tc>
          <w:tcPr>
            <w:tcW w:w="1560" w:type="dxa"/>
            <w:gridSpan w:val="4"/>
            <w:tcMar>
              <w:left w:w="57" w:type="dxa"/>
              <w:right w:w="57" w:type="dxa"/>
            </w:tcMar>
            <w:vAlign w:val="center"/>
          </w:tcPr>
          <w:p>
            <w:pPr>
              <w:jc w:val="center"/>
              <w:rPr>
                <w:rFonts w:ascii="Times New Roman" w:hAnsi="Times New Roman"/>
                <w:b/>
                <w:color w:val="000000"/>
                <w:kern w:val="2"/>
                <w:sz w:val="15"/>
                <w:szCs w:val="15"/>
              </w:rPr>
            </w:pPr>
            <w:r>
              <w:rPr>
                <w:rFonts w:ascii="Times New Roman" w:hAnsi="Times New Roman"/>
                <w:b/>
                <w:color w:val="000000"/>
                <w:kern w:val="2"/>
                <w:sz w:val="15"/>
                <w:szCs w:val="15"/>
              </w:rPr>
              <w:t>噪声治理（万元）</w:t>
            </w:r>
          </w:p>
        </w:tc>
        <w:tc>
          <w:tcPr>
            <w:tcW w:w="812" w:type="dxa"/>
            <w:tcMar>
              <w:left w:w="57" w:type="dxa"/>
              <w:right w:w="57" w:type="dxa"/>
            </w:tcMar>
            <w:vAlign w:val="center"/>
          </w:tcPr>
          <w:p>
            <w:pPr>
              <w:jc w:val="center"/>
              <w:rPr>
                <w:rFonts w:ascii="Times New Roman" w:hAnsi="Times New Roman"/>
                <w:color w:val="000000"/>
                <w:kern w:val="2"/>
                <w:sz w:val="15"/>
                <w:szCs w:val="15"/>
              </w:rPr>
            </w:pPr>
          </w:p>
        </w:tc>
        <w:tc>
          <w:tcPr>
            <w:tcW w:w="2326" w:type="dxa"/>
            <w:gridSpan w:val="2"/>
            <w:tcMar>
              <w:left w:w="57" w:type="dxa"/>
              <w:right w:w="57" w:type="dxa"/>
            </w:tcMar>
            <w:vAlign w:val="center"/>
          </w:tcPr>
          <w:p>
            <w:pPr>
              <w:jc w:val="center"/>
              <w:rPr>
                <w:rFonts w:ascii="Times New Roman" w:hAnsi="Times New Roman"/>
                <w:color w:val="000000"/>
                <w:kern w:val="2"/>
                <w:sz w:val="15"/>
                <w:szCs w:val="15"/>
              </w:rPr>
            </w:pPr>
            <w:r>
              <w:rPr>
                <w:rFonts w:ascii="Times New Roman" w:hAnsi="Times New Roman"/>
                <w:b/>
                <w:color w:val="000000"/>
                <w:kern w:val="2"/>
                <w:sz w:val="15"/>
                <w:szCs w:val="15"/>
              </w:rPr>
              <w:t>固体废物治理（万元）</w:t>
            </w: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665" w:type="dxa"/>
            <w:gridSpan w:val="2"/>
            <w:tcMar>
              <w:left w:w="57" w:type="dxa"/>
              <w:right w:w="57" w:type="dxa"/>
            </w:tcMar>
            <w:vAlign w:val="center"/>
          </w:tcPr>
          <w:p>
            <w:pPr>
              <w:jc w:val="center"/>
              <w:rPr>
                <w:rFonts w:ascii="Times New Roman" w:hAnsi="Times New Roman"/>
                <w:b/>
                <w:color w:val="000000"/>
                <w:kern w:val="2"/>
                <w:sz w:val="15"/>
                <w:szCs w:val="15"/>
              </w:rPr>
            </w:pPr>
            <w:r>
              <w:rPr>
                <w:rFonts w:ascii="Times New Roman" w:hAnsi="Times New Roman"/>
                <w:b/>
                <w:color w:val="000000"/>
                <w:kern w:val="2"/>
                <w:sz w:val="15"/>
                <w:szCs w:val="15"/>
              </w:rPr>
              <w:t>绿化及生态（万元）</w:t>
            </w:r>
          </w:p>
        </w:tc>
        <w:tc>
          <w:tcPr>
            <w:tcW w:w="679" w:type="dxa"/>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b/>
                <w:color w:val="000000"/>
                <w:kern w:val="2"/>
                <w:sz w:val="15"/>
                <w:szCs w:val="15"/>
              </w:rPr>
            </w:pPr>
            <w:r>
              <w:rPr>
                <w:rFonts w:ascii="Times New Roman" w:hAnsi="Times New Roman"/>
                <w:b/>
                <w:color w:val="000000"/>
                <w:kern w:val="2"/>
                <w:sz w:val="15"/>
                <w:szCs w:val="15"/>
              </w:rPr>
              <w:t>其他（万元）</w:t>
            </w: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rFonts w:ascii="Times New Roman" w:hAnsi="Times New Roman"/>
                <w:color w:val="000000"/>
                <w:kern w:val="2"/>
                <w:sz w:val="15"/>
                <w:szCs w:val="15"/>
              </w:rPr>
            </w:pPr>
          </w:p>
        </w:tc>
        <w:tc>
          <w:tcPr>
            <w:tcW w:w="1964" w:type="dxa"/>
            <w:gridSpan w:val="3"/>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新增废水处理设施能力</w:t>
            </w:r>
          </w:p>
        </w:tc>
        <w:tc>
          <w:tcPr>
            <w:tcW w:w="5396" w:type="dxa"/>
            <w:gridSpan w:val="10"/>
            <w:tcMar>
              <w:left w:w="57" w:type="dxa"/>
              <w:right w:w="57" w:type="dxa"/>
            </w:tcMar>
          </w:tcPr>
          <w:p>
            <w:pPr>
              <w:rPr>
                <w:rFonts w:ascii="Times New Roman" w:hAnsi="Times New Roman"/>
                <w:color w:val="000000"/>
                <w:kern w:val="2"/>
                <w:sz w:val="15"/>
                <w:szCs w:val="15"/>
              </w:rPr>
            </w:pPr>
          </w:p>
        </w:tc>
        <w:tc>
          <w:tcPr>
            <w:tcW w:w="2326" w:type="dxa"/>
            <w:gridSpan w:val="2"/>
            <w:tcMar>
              <w:left w:w="57" w:type="dxa"/>
              <w:right w:w="57" w:type="dxa"/>
            </w:tcMar>
          </w:tcPr>
          <w:p>
            <w:pPr>
              <w:rPr>
                <w:rFonts w:ascii="Times New Roman" w:hAnsi="Times New Roman"/>
                <w:color w:val="000000"/>
                <w:kern w:val="2"/>
                <w:sz w:val="15"/>
                <w:szCs w:val="15"/>
              </w:rPr>
            </w:pPr>
            <w:r>
              <w:rPr>
                <w:rFonts w:ascii="Times New Roman" w:hAnsi="Times New Roman"/>
                <w:b/>
                <w:color w:val="000000"/>
                <w:kern w:val="2"/>
                <w:sz w:val="15"/>
                <w:szCs w:val="15"/>
              </w:rPr>
              <w:t>新增废气处理设施能力</w:t>
            </w:r>
          </w:p>
        </w:tc>
        <w:tc>
          <w:tcPr>
            <w:tcW w:w="1520" w:type="dxa"/>
            <w:tcMar>
              <w:left w:w="57" w:type="dxa"/>
              <w:right w:w="57" w:type="dxa"/>
            </w:tcMar>
          </w:tcPr>
          <w:p>
            <w:pPr>
              <w:rPr>
                <w:rFonts w:ascii="Times New Roman" w:hAnsi="Times New Roman"/>
                <w:color w:val="000000"/>
                <w:kern w:val="2"/>
                <w:sz w:val="15"/>
                <w:szCs w:val="15"/>
              </w:rPr>
            </w:pPr>
          </w:p>
        </w:tc>
        <w:tc>
          <w:tcPr>
            <w:tcW w:w="1665" w:type="dxa"/>
            <w:gridSpan w:val="2"/>
            <w:tcMar>
              <w:left w:w="57" w:type="dxa"/>
              <w:right w:w="57" w:type="dxa"/>
            </w:tcMar>
          </w:tcPr>
          <w:p>
            <w:pPr>
              <w:rPr>
                <w:rFonts w:ascii="Times New Roman" w:hAnsi="Times New Roman"/>
                <w:color w:val="000000"/>
                <w:kern w:val="2"/>
                <w:sz w:val="15"/>
                <w:szCs w:val="15"/>
              </w:rPr>
            </w:pPr>
            <w:r>
              <w:rPr>
                <w:rFonts w:ascii="Times New Roman" w:hAnsi="Times New Roman"/>
                <w:b/>
                <w:color w:val="000000"/>
                <w:kern w:val="2"/>
                <w:sz w:val="15"/>
                <w:szCs w:val="15"/>
              </w:rPr>
              <w:t>年平均工作时</w:t>
            </w:r>
          </w:p>
        </w:tc>
        <w:tc>
          <w:tcPr>
            <w:tcW w:w="2575" w:type="dxa"/>
            <w:gridSpan w:val="4"/>
            <w:tcMar>
              <w:left w:w="57" w:type="dxa"/>
              <w:right w:w="57" w:type="dxa"/>
            </w:tcMar>
          </w:tcPr>
          <w:p>
            <w:pPr>
              <w:rPr>
                <w:rFonts w:ascii="Times New Roman" w:hAnsi="Times New Roman"/>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jc w:val="center"/>
              <w:rPr>
                <w:rFonts w:ascii="Times New Roman" w:hAnsi="Times New Roman"/>
                <w:b/>
                <w:color w:val="000000"/>
                <w:kern w:val="2"/>
                <w:sz w:val="15"/>
                <w:szCs w:val="15"/>
              </w:rPr>
            </w:pPr>
            <w:r>
              <w:rPr>
                <w:rFonts w:ascii="Times New Roman" w:hAnsi="Times New Roman"/>
                <w:b/>
                <w:color w:val="000000"/>
                <w:kern w:val="2"/>
                <w:sz w:val="15"/>
                <w:szCs w:val="15"/>
              </w:rPr>
              <w:t>运营单位</w:t>
            </w:r>
          </w:p>
        </w:tc>
        <w:tc>
          <w:tcPr>
            <w:tcW w:w="4291" w:type="dxa"/>
            <w:gridSpan w:val="7"/>
            <w:tcMar>
              <w:left w:w="57" w:type="dxa"/>
              <w:right w:w="57" w:type="dxa"/>
            </w:tcMar>
            <w:vAlign w:val="center"/>
          </w:tcPr>
          <w:p>
            <w:pPr>
              <w:rPr>
                <w:rFonts w:ascii="Times New Roman" w:hAnsi="Times New Roman"/>
                <w:color w:val="000000"/>
                <w:kern w:val="2"/>
                <w:sz w:val="15"/>
                <w:szCs w:val="15"/>
              </w:rPr>
            </w:pPr>
          </w:p>
        </w:tc>
        <w:tc>
          <w:tcPr>
            <w:tcW w:w="3431" w:type="dxa"/>
            <w:gridSpan w:val="5"/>
            <w:tcMar>
              <w:left w:w="57" w:type="dxa"/>
              <w:right w:w="57" w:type="dxa"/>
            </w:tcMar>
            <w:vAlign w:val="center"/>
          </w:tcPr>
          <w:p>
            <w:pPr>
              <w:jc w:val="center"/>
              <w:rPr>
                <w:rFonts w:ascii="Times New Roman" w:hAnsi="Times New Roman"/>
                <w:color w:val="000000"/>
                <w:kern w:val="2"/>
                <w:sz w:val="15"/>
                <w:szCs w:val="15"/>
              </w:rPr>
            </w:pPr>
            <w:r>
              <w:rPr>
                <w:rFonts w:ascii="Times New Roman" w:hAnsi="Times New Roman"/>
                <w:b/>
                <w:color w:val="000000"/>
                <w:kern w:val="2"/>
                <w:sz w:val="15"/>
                <w:szCs w:val="15"/>
              </w:rPr>
              <w:t>运营单位社会统一信用代码（或组织机构代码）</w:t>
            </w:r>
          </w:p>
        </w:tc>
        <w:tc>
          <w:tcPr>
            <w:tcW w:w="1520" w:type="dxa"/>
            <w:tcMar>
              <w:left w:w="57" w:type="dxa"/>
              <w:right w:w="57" w:type="dxa"/>
            </w:tcMar>
            <w:vAlign w:val="center"/>
          </w:tcPr>
          <w:p>
            <w:pPr>
              <w:rPr>
                <w:rFonts w:ascii="Times New Roman" w:hAnsi="Times New Roman"/>
                <w:b/>
                <w:color w:val="000000"/>
                <w:kern w:val="2"/>
                <w:sz w:val="15"/>
                <w:szCs w:val="15"/>
              </w:rPr>
            </w:pPr>
          </w:p>
        </w:tc>
        <w:tc>
          <w:tcPr>
            <w:tcW w:w="1665" w:type="dxa"/>
            <w:gridSpan w:val="2"/>
            <w:tcMar>
              <w:left w:w="57" w:type="dxa"/>
              <w:right w:w="57" w:type="dxa"/>
            </w:tcMar>
          </w:tcPr>
          <w:p>
            <w:pPr>
              <w:rPr>
                <w:rFonts w:ascii="Times New Roman" w:hAnsi="Times New Roman"/>
                <w:b/>
                <w:color w:val="000000"/>
                <w:kern w:val="2"/>
                <w:sz w:val="15"/>
                <w:szCs w:val="15"/>
              </w:rPr>
            </w:pPr>
            <w:r>
              <w:rPr>
                <w:rFonts w:ascii="Times New Roman" w:hAnsi="Times New Roman"/>
                <w:b/>
                <w:color w:val="000000"/>
                <w:kern w:val="2"/>
                <w:sz w:val="15"/>
                <w:szCs w:val="15"/>
              </w:rPr>
              <w:t>验收时间</w:t>
            </w:r>
          </w:p>
        </w:tc>
        <w:tc>
          <w:tcPr>
            <w:tcW w:w="2575" w:type="dxa"/>
            <w:gridSpan w:val="4"/>
            <w:tcMar>
              <w:left w:w="57" w:type="dxa"/>
              <w:right w:w="57" w:type="dxa"/>
            </w:tcMar>
          </w:tcPr>
          <w:p>
            <w:pPr>
              <w:rPr>
                <w:rFonts w:ascii="Times New Roman" w:hAnsi="Times New Roman"/>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污染</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物排</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放达</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标与</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总量</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控制（工</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业建</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设项</w:t>
            </w:r>
          </w:p>
          <w:p>
            <w:pPr>
              <w:rPr>
                <w:rFonts w:ascii="Times New Roman" w:hAnsi="Times New Roman" w:eastAsia="黑体"/>
                <w:b/>
                <w:color w:val="000000"/>
                <w:spacing w:val="20"/>
                <w:kern w:val="2"/>
                <w:sz w:val="15"/>
                <w:szCs w:val="15"/>
              </w:rPr>
            </w:pPr>
            <w:r>
              <w:rPr>
                <w:rFonts w:ascii="Times New Roman" w:hAnsi="Times New Roman" w:eastAsia="黑体"/>
                <w:b/>
                <w:color w:val="000000"/>
                <w:spacing w:val="20"/>
                <w:kern w:val="2"/>
                <w:sz w:val="15"/>
                <w:szCs w:val="15"/>
              </w:rPr>
              <w:t>目详填）</w:t>
            </w:r>
          </w:p>
        </w:tc>
        <w:tc>
          <w:tcPr>
            <w:tcW w:w="1796" w:type="dxa"/>
            <w:gridSpan w:val="2"/>
            <w:tcMar>
              <w:left w:w="57" w:type="dxa"/>
              <w:right w:w="57" w:type="dxa"/>
            </w:tcMar>
            <w:vAlign w:val="center"/>
          </w:tcPr>
          <w:p>
            <w:pPr>
              <w:rPr>
                <w:rFonts w:ascii="Times New Roman" w:hAnsi="Times New Roman"/>
                <w:color w:val="000000"/>
                <w:kern w:val="2"/>
                <w:sz w:val="15"/>
                <w:szCs w:val="15"/>
              </w:rPr>
            </w:pPr>
            <w:r>
              <w:rPr>
                <w:rFonts w:ascii="Times New Roman" w:hAnsi="Times New Roman"/>
                <w:b/>
                <w:color w:val="000000"/>
                <w:kern w:val="2"/>
                <w:sz w:val="15"/>
                <w:szCs w:val="15"/>
              </w:rPr>
              <w:t>污染物</w:t>
            </w:r>
          </w:p>
        </w:tc>
        <w:tc>
          <w:tcPr>
            <w:tcW w:w="828"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原有排</w:t>
            </w:r>
          </w:p>
          <w:p>
            <w:pPr>
              <w:rPr>
                <w:rFonts w:ascii="Times New Roman" w:hAnsi="Times New Roman"/>
                <w:b/>
                <w:color w:val="000000"/>
                <w:kern w:val="2"/>
                <w:sz w:val="15"/>
                <w:szCs w:val="15"/>
              </w:rPr>
            </w:pPr>
            <w:r>
              <w:rPr>
                <w:rFonts w:ascii="Times New Roman" w:hAnsi="Times New Roman"/>
                <w:b/>
                <w:color w:val="000000"/>
                <w:kern w:val="2"/>
                <w:sz w:val="15"/>
                <w:szCs w:val="15"/>
              </w:rPr>
              <w:t>放量(1)</w:t>
            </w:r>
          </w:p>
        </w:tc>
        <w:tc>
          <w:tcPr>
            <w:tcW w:w="1379"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本期工程实际排放浓度(2)</w:t>
            </w:r>
          </w:p>
        </w:tc>
        <w:tc>
          <w:tcPr>
            <w:tcW w:w="1097"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本期工程允许排放浓度(3)</w:t>
            </w:r>
          </w:p>
        </w:tc>
        <w:tc>
          <w:tcPr>
            <w:tcW w:w="993"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本期工程产生量(4)</w:t>
            </w:r>
          </w:p>
        </w:tc>
        <w:tc>
          <w:tcPr>
            <w:tcW w:w="1099"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本期工程自身削减量(5)</w:t>
            </w:r>
          </w:p>
        </w:tc>
        <w:tc>
          <w:tcPr>
            <w:tcW w:w="1137" w:type="dxa"/>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本期工程实际排放量(6)</w:t>
            </w:r>
          </w:p>
        </w:tc>
        <w:tc>
          <w:tcPr>
            <w:tcW w:w="1189" w:type="dxa"/>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本期工程核定排放总量(7)</w:t>
            </w:r>
          </w:p>
        </w:tc>
        <w:tc>
          <w:tcPr>
            <w:tcW w:w="1520" w:type="dxa"/>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本期工程“以新带老”削减量(8)</w:t>
            </w:r>
          </w:p>
        </w:tc>
        <w:tc>
          <w:tcPr>
            <w:tcW w:w="1100" w:type="dxa"/>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全厂实际排放总量(9)</w:t>
            </w:r>
          </w:p>
        </w:tc>
        <w:tc>
          <w:tcPr>
            <w:tcW w:w="1244"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全厂核定排放总量(10)</w:t>
            </w:r>
          </w:p>
        </w:tc>
        <w:tc>
          <w:tcPr>
            <w:tcW w:w="1102" w:type="dxa"/>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区域平衡替代削减量(11)</w:t>
            </w:r>
          </w:p>
        </w:tc>
        <w:tc>
          <w:tcPr>
            <w:tcW w:w="794" w:type="dxa"/>
            <w:gridSpan w:val="2"/>
            <w:tcMar>
              <w:left w:w="57" w:type="dxa"/>
              <w:right w:w="57" w:type="dxa"/>
            </w:tcMar>
            <w:vAlign w:val="center"/>
          </w:tcPr>
          <w:p>
            <w:pPr>
              <w:rPr>
                <w:rFonts w:ascii="Times New Roman" w:hAnsi="Times New Roman"/>
                <w:b/>
                <w:color w:val="000000"/>
                <w:kern w:val="2"/>
                <w:sz w:val="15"/>
                <w:szCs w:val="15"/>
              </w:rPr>
            </w:pPr>
            <w:r>
              <w:rPr>
                <w:rFonts w:ascii="Times New Roman" w:hAnsi="Times New Roman"/>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color w:val="000000"/>
                <w:kern w:val="2"/>
                <w:sz w:val="15"/>
                <w:szCs w:val="15"/>
              </w:rPr>
            </w:pPr>
            <w:r>
              <w:rPr>
                <w:rFonts w:ascii="Times New Roman" w:hAnsi="Times New Roman"/>
                <w:b/>
                <w:color w:val="000000"/>
                <w:kern w:val="2"/>
                <w:sz w:val="15"/>
                <w:szCs w:val="15"/>
              </w:rPr>
              <w:t>废水</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化学需氧量</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氨氮</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石油类</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eastAsia="黑体"/>
                <w:b/>
                <w:color w:val="000000"/>
                <w:kern w:val="2"/>
                <w:sz w:val="15"/>
                <w:szCs w:val="15"/>
              </w:rPr>
            </w:pPr>
            <w:r>
              <w:rPr>
                <w:rFonts w:ascii="Times New Roman" w:hAnsi="Times New Roman"/>
                <w:b/>
                <w:color w:val="000000"/>
                <w:kern w:val="2"/>
                <w:sz w:val="15"/>
                <w:szCs w:val="15"/>
              </w:rPr>
              <w:t>废气</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二氧化硫</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textAlignment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textAlignment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烟尘</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textAlignment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textAlignment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工业粉尘</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b/>
                <w:color w:val="000000"/>
                <w:kern w:val="2"/>
                <w:sz w:val="15"/>
                <w:szCs w:val="15"/>
              </w:rPr>
            </w:pPr>
            <w:r>
              <w:rPr>
                <w:rFonts w:ascii="Times New Roman" w:hAnsi="Times New Roman"/>
                <w:b/>
                <w:color w:val="000000"/>
                <w:kern w:val="2"/>
                <w:sz w:val="15"/>
                <w:szCs w:val="15"/>
              </w:rPr>
              <w:t>氮氧化物</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textAlignment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textAlignment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796" w:type="dxa"/>
            <w:gridSpan w:val="2"/>
            <w:tcMar>
              <w:left w:w="57" w:type="dxa"/>
              <w:right w:w="57" w:type="dxa"/>
            </w:tcMar>
            <w:vAlign w:val="center"/>
          </w:tcPr>
          <w:p>
            <w:pPr>
              <w:jc w:val="both"/>
              <w:rPr>
                <w:rFonts w:ascii="Times New Roman" w:hAnsi="Times New Roman" w:eastAsia="黑体"/>
                <w:b/>
                <w:color w:val="000000"/>
                <w:kern w:val="2"/>
                <w:sz w:val="15"/>
                <w:szCs w:val="15"/>
              </w:rPr>
            </w:pPr>
            <w:r>
              <w:rPr>
                <w:rFonts w:ascii="Times New Roman" w:hAnsi="Times New Roman"/>
                <w:b/>
                <w:color w:val="000000"/>
                <w:kern w:val="2"/>
                <w:sz w:val="15"/>
                <w:szCs w:val="15"/>
              </w:rPr>
              <w:t>工业固体废物</w:t>
            </w: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099" w:type="dxa"/>
            <w:vMerge w:val="restart"/>
            <w:tcMar>
              <w:left w:w="57" w:type="dxa"/>
              <w:right w:w="57" w:type="dxa"/>
            </w:tcMar>
          </w:tcPr>
          <w:p>
            <w:pPr>
              <w:jc w:val="both"/>
              <w:rPr>
                <w:rFonts w:ascii="Times New Roman" w:hAnsi="Times New Roman"/>
                <w:color w:val="000000"/>
                <w:kern w:val="2"/>
                <w:sz w:val="15"/>
                <w:szCs w:val="15"/>
              </w:rPr>
            </w:pPr>
            <w:r>
              <w:rPr>
                <w:rFonts w:ascii="Times New Roman" w:hAnsi="Times New Roman"/>
                <w:b/>
                <w:color w:val="000000"/>
                <w:kern w:val="2"/>
                <w:sz w:val="15"/>
                <w:szCs w:val="15"/>
              </w:rPr>
              <w:t>与项目有关的其他特征污染物</w:t>
            </w:r>
          </w:p>
        </w:tc>
        <w:tc>
          <w:tcPr>
            <w:tcW w:w="697" w:type="dxa"/>
            <w:tcMar>
              <w:left w:w="57" w:type="dxa"/>
              <w:right w:w="57" w:type="dxa"/>
            </w:tcMar>
            <w:vAlign w:val="center"/>
          </w:tcPr>
          <w:p>
            <w:pPr>
              <w:rPr>
                <w:rFonts w:ascii="Times New Roman" w:hAnsi="Times New Roman"/>
                <w:color w:val="000000"/>
                <w:kern w:val="2"/>
                <w:sz w:val="15"/>
                <w:szCs w:val="15"/>
              </w:rPr>
            </w:pP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099" w:type="dxa"/>
            <w:vMerge w:val="continue"/>
            <w:tcMar>
              <w:left w:w="57" w:type="dxa"/>
              <w:right w:w="57" w:type="dxa"/>
            </w:tcMar>
          </w:tcPr>
          <w:p>
            <w:pPr>
              <w:rPr>
                <w:rFonts w:ascii="Times New Roman" w:hAnsi="Times New Roman"/>
                <w:b/>
                <w:color w:val="000000"/>
                <w:kern w:val="2"/>
                <w:sz w:val="15"/>
                <w:szCs w:val="15"/>
              </w:rPr>
            </w:pPr>
          </w:p>
        </w:tc>
        <w:tc>
          <w:tcPr>
            <w:tcW w:w="697" w:type="dxa"/>
            <w:tcMar>
              <w:left w:w="57" w:type="dxa"/>
              <w:right w:w="57" w:type="dxa"/>
            </w:tcMar>
            <w:vAlign w:val="center"/>
          </w:tcPr>
          <w:p>
            <w:pPr>
              <w:rPr>
                <w:rFonts w:ascii="Times New Roman" w:hAnsi="Times New Roman"/>
                <w:color w:val="000000"/>
                <w:kern w:val="2"/>
                <w:sz w:val="15"/>
                <w:szCs w:val="15"/>
              </w:rPr>
            </w:pPr>
          </w:p>
        </w:tc>
        <w:tc>
          <w:tcPr>
            <w:tcW w:w="828" w:type="dxa"/>
            <w:gridSpan w:val="2"/>
            <w:tcMar>
              <w:left w:w="57" w:type="dxa"/>
              <w:right w:w="57" w:type="dxa"/>
            </w:tcMar>
            <w:vAlign w:val="center"/>
          </w:tcPr>
          <w:p>
            <w:pPr>
              <w:jc w:val="center"/>
              <w:rPr>
                <w:rFonts w:ascii="Times New Roman" w:hAnsi="Times New Roman"/>
                <w:color w:val="000000"/>
                <w:kern w:val="2"/>
                <w:sz w:val="15"/>
                <w:szCs w:val="15"/>
              </w:rPr>
            </w:pPr>
          </w:p>
        </w:tc>
        <w:tc>
          <w:tcPr>
            <w:tcW w:w="1379" w:type="dxa"/>
            <w:gridSpan w:val="2"/>
            <w:tcMar>
              <w:left w:w="57" w:type="dxa"/>
              <w:right w:w="57" w:type="dxa"/>
            </w:tcMar>
            <w:vAlign w:val="center"/>
          </w:tcPr>
          <w:p>
            <w:pPr>
              <w:jc w:val="center"/>
              <w:rPr>
                <w:rFonts w:ascii="Times New Roman" w:hAnsi="Times New Roman"/>
                <w:color w:val="000000"/>
                <w:kern w:val="2"/>
                <w:sz w:val="15"/>
                <w:szCs w:val="15"/>
              </w:rPr>
            </w:pPr>
          </w:p>
        </w:tc>
        <w:tc>
          <w:tcPr>
            <w:tcW w:w="1097" w:type="dxa"/>
            <w:gridSpan w:val="2"/>
            <w:tcMar>
              <w:left w:w="57" w:type="dxa"/>
              <w:right w:w="57" w:type="dxa"/>
            </w:tcMar>
            <w:vAlign w:val="center"/>
          </w:tcPr>
          <w:p>
            <w:pPr>
              <w:jc w:val="center"/>
              <w:rPr>
                <w:rFonts w:ascii="Times New Roman" w:hAnsi="Times New Roman"/>
                <w:color w:val="000000"/>
                <w:kern w:val="2"/>
                <w:sz w:val="15"/>
                <w:szCs w:val="15"/>
              </w:rPr>
            </w:pPr>
          </w:p>
        </w:tc>
        <w:tc>
          <w:tcPr>
            <w:tcW w:w="993" w:type="dxa"/>
            <w:gridSpan w:val="2"/>
            <w:tcMar>
              <w:left w:w="57" w:type="dxa"/>
              <w:right w:w="57" w:type="dxa"/>
            </w:tcMar>
            <w:vAlign w:val="center"/>
          </w:tcPr>
          <w:p>
            <w:pPr>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jc w:val="center"/>
              <w:rPr>
                <w:rFonts w:ascii="Times New Roman" w:hAnsi="Times New Roman"/>
                <w:color w:val="000000"/>
                <w:kern w:val="2"/>
                <w:sz w:val="15"/>
                <w:szCs w:val="15"/>
              </w:rPr>
            </w:pPr>
          </w:p>
        </w:tc>
        <w:tc>
          <w:tcPr>
            <w:tcW w:w="1137" w:type="dxa"/>
            <w:tcMar>
              <w:left w:w="57" w:type="dxa"/>
              <w:right w:w="57" w:type="dxa"/>
            </w:tcMar>
            <w:vAlign w:val="center"/>
          </w:tcPr>
          <w:p>
            <w:pPr>
              <w:jc w:val="center"/>
              <w:rPr>
                <w:rFonts w:ascii="Times New Roman" w:hAnsi="Times New Roman"/>
                <w:color w:val="000000"/>
                <w:kern w:val="2"/>
                <w:sz w:val="15"/>
                <w:szCs w:val="15"/>
              </w:rPr>
            </w:pPr>
          </w:p>
        </w:tc>
        <w:tc>
          <w:tcPr>
            <w:tcW w:w="1189" w:type="dxa"/>
            <w:tcMar>
              <w:left w:w="57" w:type="dxa"/>
              <w:right w:w="57" w:type="dxa"/>
            </w:tcMar>
            <w:vAlign w:val="center"/>
          </w:tcPr>
          <w:p>
            <w:pPr>
              <w:jc w:val="center"/>
              <w:rPr>
                <w:rFonts w:ascii="Times New Roman" w:hAnsi="Times New Roman"/>
                <w:color w:val="000000"/>
                <w:kern w:val="2"/>
                <w:sz w:val="15"/>
                <w:szCs w:val="15"/>
              </w:rPr>
            </w:pPr>
          </w:p>
        </w:tc>
        <w:tc>
          <w:tcPr>
            <w:tcW w:w="1520" w:type="dxa"/>
            <w:tcMar>
              <w:left w:w="57" w:type="dxa"/>
              <w:right w:w="57" w:type="dxa"/>
            </w:tcMar>
            <w:vAlign w:val="center"/>
          </w:tcPr>
          <w:p>
            <w:pPr>
              <w:jc w:val="center"/>
              <w:rPr>
                <w:rFonts w:ascii="Times New Roman" w:hAnsi="Times New Roman"/>
                <w:color w:val="000000"/>
                <w:kern w:val="2"/>
                <w:sz w:val="15"/>
                <w:szCs w:val="15"/>
              </w:rPr>
            </w:pPr>
          </w:p>
        </w:tc>
        <w:tc>
          <w:tcPr>
            <w:tcW w:w="1100" w:type="dxa"/>
            <w:tcMar>
              <w:left w:w="57" w:type="dxa"/>
              <w:right w:w="57" w:type="dxa"/>
            </w:tcMar>
            <w:vAlign w:val="center"/>
          </w:tcPr>
          <w:p>
            <w:pPr>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jc w:val="center"/>
              <w:rPr>
                <w:rFonts w:ascii="Times New Roman" w:hAnsi="Times New Roman"/>
                <w:color w:val="000000"/>
                <w:kern w:val="2"/>
                <w:sz w:val="15"/>
                <w:szCs w:val="15"/>
              </w:rPr>
            </w:pPr>
          </w:p>
        </w:tc>
        <w:tc>
          <w:tcPr>
            <w:tcW w:w="1102" w:type="dxa"/>
            <w:tcMar>
              <w:left w:w="57" w:type="dxa"/>
              <w:right w:w="57" w:type="dxa"/>
            </w:tcMar>
            <w:vAlign w:val="center"/>
          </w:tcPr>
          <w:p>
            <w:pPr>
              <w:jc w:val="center"/>
              <w:rPr>
                <w:rFonts w:ascii="Times New Roman" w:hAnsi="Times New Roman"/>
                <w:color w:val="000000"/>
                <w:kern w:val="2"/>
                <w:sz w:val="15"/>
                <w:szCs w:val="15"/>
              </w:rPr>
            </w:pPr>
          </w:p>
        </w:tc>
        <w:tc>
          <w:tcPr>
            <w:tcW w:w="794" w:type="dxa"/>
            <w:gridSpan w:val="2"/>
            <w:tcMar>
              <w:left w:w="57" w:type="dxa"/>
              <w:right w:w="57" w:type="dxa"/>
            </w:tcMar>
            <w:vAlign w:val="center"/>
          </w:tcPr>
          <w:p>
            <w:pPr>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tcPr>
          <w:p>
            <w:pPr>
              <w:rPr>
                <w:rFonts w:ascii="Times New Roman" w:hAnsi="Times New Roman"/>
                <w:color w:val="000000"/>
                <w:kern w:val="2"/>
                <w:sz w:val="15"/>
                <w:szCs w:val="15"/>
              </w:rPr>
            </w:pPr>
          </w:p>
        </w:tc>
        <w:tc>
          <w:tcPr>
            <w:tcW w:w="1099" w:type="dxa"/>
            <w:vMerge w:val="continue"/>
            <w:tcMar>
              <w:left w:w="57" w:type="dxa"/>
              <w:right w:w="57" w:type="dxa"/>
            </w:tcMar>
          </w:tcPr>
          <w:p>
            <w:pPr>
              <w:rPr>
                <w:rFonts w:ascii="Times New Roman" w:hAnsi="Times New Roman"/>
                <w:b/>
                <w:color w:val="000000"/>
                <w:kern w:val="2"/>
                <w:sz w:val="15"/>
                <w:szCs w:val="15"/>
              </w:rPr>
            </w:pPr>
          </w:p>
        </w:tc>
        <w:tc>
          <w:tcPr>
            <w:tcW w:w="697" w:type="dxa"/>
            <w:tcMar>
              <w:left w:w="57" w:type="dxa"/>
              <w:right w:w="57" w:type="dxa"/>
            </w:tcMar>
            <w:vAlign w:val="center"/>
          </w:tcPr>
          <w:p>
            <w:pPr>
              <w:rPr>
                <w:rFonts w:ascii="Times New Roman" w:hAnsi="Times New Roman"/>
                <w:color w:val="000000"/>
                <w:kern w:val="2"/>
                <w:sz w:val="15"/>
                <w:szCs w:val="15"/>
              </w:rPr>
            </w:pPr>
          </w:p>
        </w:tc>
        <w:tc>
          <w:tcPr>
            <w:tcW w:w="828" w:type="dxa"/>
            <w:gridSpan w:val="2"/>
            <w:tcMar>
              <w:left w:w="57" w:type="dxa"/>
              <w:right w:w="57" w:type="dxa"/>
            </w:tcMar>
          </w:tcPr>
          <w:p>
            <w:pPr>
              <w:jc w:val="center"/>
              <w:rPr>
                <w:rFonts w:ascii="Times New Roman" w:hAnsi="Times New Roman"/>
                <w:color w:val="000000"/>
                <w:kern w:val="2"/>
                <w:sz w:val="15"/>
                <w:szCs w:val="15"/>
              </w:rPr>
            </w:pPr>
          </w:p>
        </w:tc>
        <w:tc>
          <w:tcPr>
            <w:tcW w:w="1379" w:type="dxa"/>
            <w:gridSpan w:val="2"/>
            <w:tcMar>
              <w:left w:w="57" w:type="dxa"/>
              <w:right w:w="57" w:type="dxa"/>
            </w:tcMar>
          </w:tcPr>
          <w:p>
            <w:pPr>
              <w:jc w:val="center"/>
              <w:rPr>
                <w:rFonts w:ascii="Times New Roman" w:hAnsi="Times New Roman"/>
                <w:color w:val="000000"/>
                <w:kern w:val="2"/>
                <w:sz w:val="15"/>
                <w:szCs w:val="15"/>
              </w:rPr>
            </w:pPr>
          </w:p>
        </w:tc>
        <w:tc>
          <w:tcPr>
            <w:tcW w:w="1097" w:type="dxa"/>
            <w:gridSpan w:val="2"/>
            <w:tcMar>
              <w:left w:w="57" w:type="dxa"/>
              <w:right w:w="57" w:type="dxa"/>
            </w:tcMar>
          </w:tcPr>
          <w:p>
            <w:pPr>
              <w:jc w:val="center"/>
              <w:rPr>
                <w:rFonts w:ascii="Times New Roman" w:hAnsi="Times New Roman"/>
                <w:color w:val="000000"/>
                <w:kern w:val="2"/>
                <w:sz w:val="15"/>
                <w:szCs w:val="15"/>
              </w:rPr>
            </w:pPr>
          </w:p>
        </w:tc>
        <w:tc>
          <w:tcPr>
            <w:tcW w:w="993" w:type="dxa"/>
            <w:gridSpan w:val="2"/>
            <w:tcMar>
              <w:left w:w="57" w:type="dxa"/>
              <w:right w:w="57" w:type="dxa"/>
            </w:tcMar>
          </w:tcPr>
          <w:p>
            <w:pPr>
              <w:jc w:val="center"/>
              <w:rPr>
                <w:rFonts w:ascii="Times New Roman" w:hAnsi="Times New Roman"/>
                <w:color w:val="000000"/>
                <w:kern w:val="2"/>
                <w:sz w:val="15"/>
                <w:szCs w:val="15"/>
              </w:rPr>
            </w:pPr>
          </w:p>
        </w:tc>
        <w:tc>
          <w:tcPr>
            <w:tcW w:w="1099" w:type="dxa"/>
            <w:gridSpan w:val="2"/>
            <w:tcMar>
              <w:left w:w="57" w:type="dxa"/>
              <w:right w:w="57" w:type="dxa"/>
            </w:tcMar>
          </w:tcPr>
          <w:p>
            <w:pPr>
              <w:jc w:val="center"/>
              <w:rPr>
                <w:rFonts w:ascii="Times New Roman" w:hAnsi="Times New Roman"/>
                <w:color w:val="000000"/>
                <w:kern w:val="2"/>
                <w:sz w:val="15"/>
                <w:szCs w:val="15"/>
              </w:rPr>
            </w:pPr>
          </w:p>
        </w:tc>
        <w:tc>
          <w:tcPr>
            <w:tcW w:w="1137" w:type="dxa"/>
            <w:tcMar>
              <w:left w:w="57" w:type="dxa"/>
              <w:right w:w="57" w:type="dxa"/>
            </w:tcMar>
          </w:tcPr>
          <w:p>
            <w:pPr>
              <w:jc w:val="center"/>
              <w:rPr>
                <w:rFonts w:ascii="Times New Roman" w:hAnsi="Times New Roman"/>
                <w:color w:val="000000"/>
                <w:kern w:val="2"/>
                <w:sz w:val="15"/>
                <w:szCs w:val="15"/>
              </w:rPr>
            </w:pPr>
          </w:p>
        </w:tc>
        <w:tc>
          <w:tcPr>
            <w:tcW w:w="1189" w:type="dxa"/>
            <w:tcMar>
              <w:left w:w="57" w:type="dxa"/>
              <w:right w:w="57" w:type="dxa"/>
            </w:tcMar>
          </w:tcPr>
          <w:p>
            <w:pPr>
              <w:jc w:val="center"/>
              <w:rPr>
                <w:rFonts w:ascii="Times New Roman" w:hAnsi="Times New Roman"/>
                <w:color w:val="000000"/>
                <w:kern w:val="2"/>
                <w:sz w:val="15"/>
                <w:szCs w:val="15"/>
              </w:rPr>
            </w:pPr>
          </w:p>
        </w:tc>
        <w:tc>
          <w:tcPr>
            <w:tcW w:w="1520" w:type="dxa"/>
            <w:tcMar>
              <w:left w:w="57" w:type="dxa"/>
              <w:right w:w="57" w:type="dxa"/>
            </w:tcMar>
          </w:tcPr>
          <w:p>
            <w:pPr>
              <w:jc w:val="center"/>
              <w:rPr>
                <w:rFonts w:ascii="Times New Roman" w:hAnsi="Times New Roman"/>
                <w:color w:val="000000"/>
                <w:kern w:val="2"/>
                <w:sz w:val="15"/>
                <w:szCs w:val="15"/>
              </w:rPr>
            </w:pPr>
          </w:p>
        </w:tc>
        <w:tc>
          <w:tcPr>
            <w:tcW w:w="1100" w:type="dxa"/>
            <w:tcMar>
              <w:left w:w="57" w:type="dxa"/>
              <w:right w:w="57" w:type="dxa"/>
            </w:tcMar>
          </w:tcPr>
          <w:p>
            <w:pPr>
              <w:jc w:val="center"/>
              <w:rPr>
                <w:rFonts w:ascii="Times New Roman" w:hAnsi="Times New Roman"/>
                <w:color w:val="000000"/>
                <w:kern w:val="2"/>
                <w:sz w:val="15"/>
                <w:szCs w:val="15"/>
              </w:rPr>
            </w:pPr>
          </w:p>
        </w:tc>
        <w:tc>
          <w:tcPr>
            <w:tcW w:w="1244" w:type="dxa"/>
            <w:gridSpan w:val="2"/>
            <w:tcMar>
              <w:left w:w="57" w:type="dxa"/>
              <w:right w:w="57" w:type="dxa"/>
            </w:tcMar>
          </w:tcPr>
          <w:p>
            <w:pPr>
              <w:jc w:val="center"/>
              <w:rPr>
                <w:rFonts w:ascii="Times New Roman" w:hAnsi="Times New Roman"/>
                <w:color w:val="000000"/>
                <w:kern w:val="2"/>
                <w:sz w:val="15"/>
                <w:szCs w:val="15"/>
              </w:rPr>
            </w:pPr>
          </w:p>
        </w:tc>
        <w:tc>
          <w:tcPr>
            <w:tcW w:w="1102" w:type="dxa"/>
            <w:tcMar>
              <w:left w:w="57" w:type="dxa"/>
              <w:right w:w="57" w:type="dxa"/>
            </w:tcMar>
          </w:tcPr>
          <w:p>
            <w:pPr>
              <w:jc w:val="center"/>
              <w:rPr>
                <w:rFonts w:ascii="Times New Roman" w:hAnsi="Times New Roman"/>
                <w:color w:val="000000"/>
                <w:kern w:val="2"/>
                <w:sz w:val="15"/>
                <w:szCs w:val="15"/>
              </w:rPr>
            </w:pPr>
          </w:p>
        </w:tc>
        <w:tc>
          <w:tcPr>
            <w:tcW w:w="794" w:type="dxa"/>
            <w:gridSpan w:val="2"/>
            <w:tcMar>
              <w:left w:w="57" w:type="dxa"/>
              <w:right w:w="57" w:type="dxa"/>
            </w:tcMar>
          </w:tcPr>
          <w:p>
            <w:pPr>
              <w:jc w:val="center"/>
              <w:rPr>
                <w:rFonts w:ascii="Times New Roman" w:hAnsi="Times New Roman"/>
                <w:color w:val="000000"/>
                <w:kern w:val="2"/>
                <w:sz w:val="15"/>
                <w:szCs w:val="15"/>
              </w:rPr>
            </w:pPr>
          </w:p>
        </w:tc>
      </w:tr>
    </w:tbl>
    <w:p>
      <w:pPr>
        <w:pStyle w:val="2"/>
        <w:rPr>
          <w:sz w:val="15"/>
          <w:szCs w:val="15"/>
        </w:r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p>
      <w:pPr>
        <w:pStyle w:val="2"/>
        <w:rPr>
          <w:sz w:val="15"/>
          <w:szCs w:val="15"/>
        </w:rPr>
        <w:sectPr>
          <w:pgSz w:w="16838" w:h="11906" w:orient="landscape"/>
          <w:pgMar w:top="1134" w:right="1440" w:bottom="1134" w:left="1440" w:header="709" w:footer="709" w:gutter="0"/>
          <w:cols w:space="0" w:num="1"/>
          <w:docGrid w:linePitch="312" w:charSpace="0"/>
        </w:sectPr>
      </w:pPr>
    </w:p>
    <w:p>
      <w:pPr>
        <w:pStyle w:val="2"/>
        <w:spacing w:line="360" w:lineRule="auto"/>
        <w:rPr>
          <w:rFonts w:ascii="Times New Roman" w:hAnsi="Times New Roman" w:cs="Times New Roman"/>
        </w:rPr>
      </w:pPr>
      <w:r>
        <w:rPr>
          <w:rFonts w:hint="eastAsia"/>
          <w:sz w:val="21"/>
          <w:szCs w:val="21"/>
        </w:rPr>
        <w:drawing>
          <wp:anchor distT="0" distB="0" distL="114300" distR="114300" simplePos="0" relativeHeight="251661312" behindDoc="1" locked="0" layoutInCell="1" allowOverlap="1">
            <wp:simplePos x="0" y="0"/>
            <wp:positionH relativeFrom="column">
              <wp:posOffset>118110</wp:posOffset>
            </wp:positionH>
            <wp:positionV relativeFrom="paragraph">
              <wp:posOffset>250190</wp:posOffset>
            </wp:positionV>
            <wp:extent cx="6455410" cy="7677150"/>
            <wp:effectExtent l="0" t="0" r="2540" b="0"/>
            <wp:wrapNone/>
            <wp:docPr id="6" name="图片 6" descr="MB5}L_YN)6MORPMC{{5}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B5}L_YN)6MORPMC{{5}N_4"/>
                    <pic:cNvPicPr>
                      <a:picLocks noChangeAspect="1"/>
                    </pic:cNvPicPr>
                  </pic:nvPicPr>
                  <pic:blipFill>
                    <a:blip r:embed="rId9" cstate="print"/>
                    <a:srcRect b="9427"/>
                    <a:stretch>
                      <a:fillRect/>
                    </a:stretch>
                  </pic:blipFill>
                  <pic:spPr>
                    <a:xfrm>
                      <a:off x="0" y="0"/>
                      <a:ext cx="6455410" cy="7677150"/>
                    </a:xfrm>
                    <a:prstGeom prst="rect">
                      <a:avLst/>
                    </a:prstGeom>
                  </pic:spPr>
                </pic:pic>
              </a:graphicData>
            </a:graphic>
          </wp:anchor>
        </w:drawing>
      </w:r>
      <w:r>
        <w:rPr>
          <w:rFonts w:ascii="Times New Roman" w:hAnsi="Times New Roman" w:cs="Times New Roman"/>
        </w:rPr>
        <w:t>附</w:t>
      </w:r>
      <w:r>
        <w:rPr>
          <w:rFonts w:hint="eastAsia" w:ascii="Times New Roman" w:hAnsi="Times New Roman" w:cs="Times New Roman"/>
        </w:rPr>
        <w:t>件1：道真金瑞中心城一期房地产开发建设项目环境影响报告表的审批意见</w:t>
      </w: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rFonts w:ascii="Times New Roman" w:hAnsi="Times New Roman" w:cs="Times New Roman"/>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rPr>
        <w:drawing>
          <wp:anchor distT="0" distB="0" distL="114300" distR="114300" simplePos="0" relativeHeight="251662336" behindDoc="1" locked="0" layoutInCell="1" allowOverlap="1">
            <wp:simplePos x="0" y="0"/>
            <wp:positionH relativeFrom="column">
              <wp:posOffset>-38100</wp:posOffset>
            </wp:positionH>
            <wp:positionV relativeFrom="paragraph">
              <wp:posOffset>179705</wp:posOffset>
            </wp:positionV>
            <wp:extent cx="6263640" cy="8040370"/>
            <wp:effectExtent l="0" t="0" r="3810" b="17780"/>
            <wp:wrapNone/>
            <wp:docPr id="26" name="图片 26" descr="W$QBGBI@HE3M~C]IWYT%_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QBGBI@HE3M~C]IWYT%_OA"/>
                    <pic:cNvPicPr>
                      <a:picLocks noChangeAspect="1"/>
                    </pic:cNvPicPr>
                  </pic:nvPicPr>
                  <pic:blipFill>
                    <a:blip r:embed="rId10" cstate="print"/>
                    <a:srcRect t="6815" b="6717"/>
                    <a:stretch>
                      <a:fillRect/>
                    </a:stretch>
                  </pic:blipFill>
                  <pic:spPr>
                    <a:xfrm>
                      <a:off x="0" y="0"/>
                      <a:ext cx="6263640" cy="8040370"/>
                    </a:xfrm>
                    <a:prstGeom prst="rect">
                      <a:avLst/>
                    </a:prstGeom>
                  </pic:spPr>
                </pic:pic>
              </a:graphicData>
            </a:graphic>
          </wp:anchor>
        </w:drawing>
      </w: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r>
        <w:rPr>
          <w:rFonts w:hint="eastAsia" w:ascii="Times New Roman" w:hAnsi="Times New Roman" w:eastAsia="宋体"/>
          <w:color w:val="000000"/>
          <w:sz w:val="24"/>
          <w:szCs w:val="24"/>
        </w:rPr>
        <w:drawing>
          <wp:anchor distT="0" distB="0" distL="114300" distR="114300" simplePos="0" relativeHeight="251663360" behindDoc="1" locked="0" layoutInCell="1" allowOverlap="1">
            <wp:simplePos x="0" y="0"/>
            <wp:positionH relativeFrom="column">
              <wp:posOffset>-43180</wp:posOffset>
            </wp:positionH>
            <wp:positionV relativeFrom="paragraph">
              <wp:posOffset>69850</wp:posOffset>
            </wp:positionV>
            <wp:extent cx="6009640" cy="8199755"/>
            <wp:effectExtent l="0" t="0" r="10160" b="10795"/>
            <wp:wrapNone/>
            <wp:docPr id="27" name="图片 27" descr="R1]X3IXQSBLS0SDXPF5J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R1]X3IXQSBLS0SDXPF5J9$D"/>
                    <pic:cNvPicPr>
                      <a:picLocks noChangeAspect="1"/>
                    </pic:cNvPicPr>
                  </pic:nvPicPr>
                  <pic:blipFill>
                    <a:blip r:embed="rId11" cstate="print"/>
                    <a:srcRect t="4196" b="4102"/>
                    <a:stretch>
                      <a:fillRect/>
                    </a:stretch>
                  </pic:blipFill>
                  <pic:spPr>
                    <a:xfrm>
                      <a:off x="0" y="0"/>
                      <a:ext cx="6009640" cy="8199755"/>
                    </a:xfrm>
                    <a:prstGeom prst="rect">
                      <a:avLst/>
                    </a:prstGeom>
                  </pic:spPr>
                </pic:pic>
              </a:graphicData>
            </a:graphic>
          </wp:anchor>
        </w:drawing>
      </w: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pStyle w:val="2"/>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Pr>
        <w:spacing w:line="360" w:lineRule="auto"/>
        <w:rPr>
          <w:rFonts w:ascii="Times New Roman" w:hAnsi="Times New Roman" w:eastAsia="宋体"/>
          <w:color w:val="000000"/>
          <w:sz w:val="24"/>
          <w:szCs w:val="24"/>
        </w:rPr>
      </w:pPr>
    </w:p>
    <w:p/>
    <w:p>
      <w:pPr>
        <w:pStyle w:val="2"/>
      </w:pPr>
    </w:p>
    <w:p>
      <w:pPr>
        <w:pStyle w:val="2"/>
      </w:pPr>
    </w:p>
    <w:p>
      <w:pPr>
        <w:pStyle w:val="2"/>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hint="eastAsia" w:ascii="Times New Roman" w:hAnsi="Times New Roman" w:cs="Times New Roman"/>
          <w:lang w:eastAsia="zh-CN"/>
        </w:rPr>
      </w:pPr>
      <w:r>
        <w:rPr>
          <w:rFonts w:hint="eastAsia" w:ascii="Times New Roman" w:hAnsi="Times New Roman" w:cs="Times New Roman"/>
          <w:lang w:eastAsia="zh-CN"/>
        </w:rPr>
        <w:t>附件</w:t>
      </w:r>
      <w:r>
        <w:rPr>
          <w:rFonts w:hint="eastAsia" w:ascii="Times New Roman" w:hAnsi="Times New Roman" w:cs="Times New Roman"/>
          <w:lang w:val="en-US" w:eastAsia="zh-CN"/>
        </w:rPr>
        <w:t>2</w:t>
      </w:r>
      <w:r>
        <w:rPr>
          <w:rFonts w:hint="eastAsia" w:ascii="Times New Roman" w:hAnsi="Times New Roman" w:cs="Times New Roman"/>
          <w:lang w:eastAsia="zh-CN"/>
        </w:rPr>
        <w:t>：项目验收委托书</w:t>
      </w: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27305</wp:posOffset>
            </wp:positionH>
            <wp:positionV relativeFrom="paragraph">
              <wp:posOffset>41910</wp:posOffset>
            </wp:positionV>
            <wp:extent cx="5596890" cy="7974965"/>
            <wp:effectExtent l="0" t="0" r="3810" b="6985"/>
            <wp:wrapNone/>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12" cstate="print"/>
                    <a:stretch>
                      <a:fillRect/>
                    </a:stretch>
                  </pic:blipFill>
                  <pic:spPr>
                    <a:xfrm>
                      <a:off x="0" y="0"/>
                      <a:ext cx="5596890" cy="7974965"/>
                    </a:xfrm>
                    <a:prstGeom prst="rect">
                      <a:avLst/>
                    </a:prstGeom>
                    <a:noFill/>
                    <a:ln w="9525">
                      <a:noFill/>
                    </a:ln>
                  </pic:spPr>
                </pic:pic>
              </a:graphicData>
            </a:graphic>
          </wp:anchor>
        </w:drawing>
      </w: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r>
        <w:rPr>
          <w:rFonts w:hint="eastAsia" w:ascii="Times New Roman" w:hAnsi="Times New Roman" w:cs="Times New Roman"/>
          <w:lang w:eastAsia="zh-CN"/>
        </w:rPr>
        <w:t>附件</w:t>
      </w:r>
      <w:r>
        <w:rPr>
          <w:rFonts w:hint="eastAsia" w:ascii="Times New Roman" w:hAnsi="Times New Roman" w:cs="Times New Roman"/>
          <w:lang w:val="en-US" w:eastAsia="zh-CN"/>
        </w:rPr>
        <w:t>3：</w:t>
      </w:r>
      <w:r>
        <w:rPr>
          <w:rFonts w:hint="eastAsia" w:ascii="Times New Roman" w:hAnsi="Times New Roman" w:cs="Times New Roman"/>
        </w:rPr>
        <w:t>生活垃圾委托处置协议</w:t>
      </w:r>
    </w:p>
    <w:p>
      <w:pPr>
        <w:pStyle w:val="2"/>
        <w:spacing w:line="360" w:lineRule="auto"/>
        <w:rPr>
          <w:rFonts w:hint="default" w:ascii="Times New Roman" w:hAnsi="Times New Roman" w:eastAsia="宋体" w:cs="Times New Roman"/>
          <w:lang w:val="en-US" w:eastAsia="zh-CN"/>
        </w:rPr>
      </w:pPr>
      <w:r>
        <w:rPr>
          <w:rFonts w:hint="eastAsia" w:ascii="Times New Roman" w:hAnsi="Times New Roman" w:cs="Times New Roman"/>
        </w:rPr>
        <w:drawing>
          <wp:anchor distT="0" distB="0" distL="114300" distR="114300" simplePos="0" relativeHeight="251665408" behindDoc="1" locked="0" layoutInCell="1" allowOverlap="1">
            <wp:simplePos x="0" y="0"/>
            <wp:positionH relativeFrom="column">
              <wp:posOffset>34290</wp:posOffset>
            </wp:positionH>
            <wp:positionV relativeFrom="paragraph">
              <wp:posOffset>147320</wp:posOffset>
            </wp:positionV>
            <wp:extent cx="6065520" cy="7838440"/>
            <wp:effectExtent l="0" t="0" r="11430" b="10160"/>
            <wp:wrapNone/>
            <wp:docPr id="3" name="图片 3" descr="7XBF]Y%DMODVKHE_FFQ0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XBF]Y%DMODVKHE_FFQ0V)H"/>
                    <pic:cNvPicPr>
                      <a:picLocks noChangeAspect="1"/>
                    </pic:cNvPicPr>
                  </pic:nvPicPr>
                  <pic:blipFill>
                    <a:blip r:embed="rId13" cstate="print"/>
                    <a:srcRect b="3685"/>
                    <a:stretch>
                      <a:fillRect/>
                    </a:stretch>
                  </pic:blipFill>
                  <pic:spPr>
                    <a:xfrm>
                      <a:off x="0" y="0"/>
                      <a:ext cx="6065520" cy="7838440"/>
                    </a:xfrm>
                    <a:prstGeom prst="rect">
                      <a:avLst/>
                    </a:prstGeom>
                  </pic:spPr>
                </pic:pic>
              </a:graphicData>
            </a:graphic>
          </wp:anchor>
        </w:drawing>
      </w: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bookmarkStart w:id="2" w:name="_GoBack"/>
      <w:bookmarkEnd w:id="2"/>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r>
        <w:rPr>
          <w:rFonts w:hint="eastAsia" w:ascii="Times New Roman" w:hAnsi="Times New Roman" w:cs="Times New Roman"/>
        </w:rPr>
        <w:drawing>
          <wp:anchor distT="0" distB="0" distL="114300" distR="114300" simplePos="0" relativeHeight="251666432" behindDoc="1" locked="0" layoutInCell="1" allowOverlap="1">
            <wp:simplePos x="0" y="0"/>
            <wp:positionH relativeFrom="column">
              <wp:posOffset>36830</wp:posOffset>
            </wp:positionH>
            <wp:positionV relativeFrom="paragraph">
              <wp:posOffset>120650</wp:posOffset>
            </wp:positionV>
            <wp:extent cx="6009640" cy="7950200"/>
            <wp:effectExtent l="0" t="0" r="10160" b="12700"/>
            <wp:wrapNone/>
            <wp:docPr id="4" name="图片 4" descr="[(JSZHF_5_]9UIRO`A~H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SZHF_5_]9UIRO`A~H_[X"/>
                    <pic:cNvPicPr>
                      <a:picLocks noChangeAspect="1"/>
                    </pic:cNvPicPr>
                  </pic:nvPicPr>
                  <pic:blipFill>
                    <a:blip r:embed="rId14" cstate="print"/>
                    <a:srcRect t="1593" b="4321"/>
                    <a:stretch>
                      <a:fillRect/>
                    </a:stretch>
                  </pic:blipFill>
                  <pic:spPr>
                    <a:xfrm>
                      <a:off x="0" y="0"/>
                      <a:ext cx="6009640" cy="7950200"/>
                    </a:xfrm>
                    <a:prstGeom prst="rect">
                      <a:avLst/>
                    </a:prstGeom>
                  </pic:spPr>
                </pic:pic>
              </a:graphicData>
            </a:graphic>
          </wp:anchor>
        </w:drawing>
      </w: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r>
        <w:rPr>
          <w:rFonts w:hint="eastAsia" w:ascii="Times New Roman" w:hAnsi="Times New Roman" w:cs="Times New Roman"/>
        </w:rPr>
        <w:drawing>
          <wp:anchor distT="0" distB="0" distL="114300" distR="114300" simplePos="0" relativeHeight="251667456" behindDoc="1" locked="0" layoutInCell="1" allowOverlap="1">
            <wp:simplePos x="0" y="0"/>
            <wp:positionH relativeFrom="column">
              <wp:posOffset>-313055</wp:posOffset>
            </wp:positionH>
            <wp:positionV relativeFrom="paragraph">
              <wp:posOffset>97155</wp:posOffset>
            </wp:positionV>
            <wp:extent cx="6107430" cy="7971155"/>
            <wp:effectExtent l="0" t="0" r="7620" b="10795"/>
            <wp:wrapNone/>
            <wp:docPr id="5" name="图片 5" descr="K(83679II]D5OVQB_$O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83679II]D5OVQB_$OADD4"/>
                    <pic:cNvPicPr>
                      <a:picLocks noChangeAspect="1"/>
                    </pic:cNvPicPr>
                  </pic:nvPicPr>
                  <pic:blipFill>
                    <a:blip r:embed="rId15" cstate="print"/>
                    <a:srcRect b="3117"/>
                    <a:stretch>
                      <a:fillRect/>
                    </a:stretch>
                  </pic:blipFill>
                  <pic:spPr>
                    <a:xfrm>
                      <a:off x="0" y="0"/>
                      <a:ext cx="6107430" cy="7971155"/>
                    </a:xfrm>
                    <a:prstGeom prst="rect">
                      <a:avLst/>
                    </a:prstGeom>
                  </pic:spPr>
                </pic:pic>
              </a:graphicData>
            </a:graphic>
          </wp:anchor>
        </w:drawing>
      </w: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cs="Times New Roman"/>
          <w:bCs/>
          <w:color w:val="auto"/>
        </w:rPr>
      </w:pPr>
      <w:r>
        <w:rPr>
          <w:rFonts w:ascii="Times New Roman" w:hAnsi="Times New Roman" w:cs="Times New Roman"/>
        </w:rPr>
        <w:t>附件</w:t>
      </w: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资质认定证书</w:t>
      </w:r>
    </w:p>
    <w:p>
      <w:pPr>
        <w:spacing w:line="360" w:lineRule="auto"/>
        <w:rPr>
          <w:szCs w:val="24"/>
        </w:rPr>
      </w:pPr>
    </w:p>
    <w:p>
      <w:pPr>
        <w:spacing w:line="360" w:lineRule="auto"/>
        <w:rPr>
          <w:szCs w:val="24"/>
        </w:rPr>
      </w:pPr>
    </w:p>
    <w:p>
      <w:pPr>
        <w:spacing w:line="360" w:lineRule="auto"/>
        <w:rPr>
          <w:szCs w:val="24"/>
        </w:rPr>
      </w:pPr>
    </w:p>
    <w:p>
      <w:pPr>
        <w:pStyle w:val="2"/>
        <w:rPr>
          <w:sz w:val="21"/>
          <w:szCs w:val="21"/>
        </w:rPr>
      </w:pPr>
    </w:p>
    <w:p>
      <w:pPr>
        <w:pStyle w:val="2"/>
      </w:pPr>
    </w:p>
    <w:p>
      <w:pPr>
        <w:pStyle w:val="2"/>
      </w:pPr>
    </w:p>
    <w:p>
      <w:pPr>
        <w:pStyle w:val="2"/>
      </w:pPr>
    </w:p>
    <w:p>
      <w:pPr>
        <w:pStyle w:val="2"/>
      </w:pPr>
    </w:p>
    <w:p>
      <w:pPr>
        <w:pStyle w:val="2"/>
      </w:pPr>
    </w:p>
    <w:p>
      <w:pPr>
        <w:pStyle w:val="2"/>
      </w:pPr>
    </w:p>
    <w:p>
      <w:pPr>
        <w:pStyle w:val="2"/>
      </w:pPr>
    </w:p>
    <w:p>
      <w:pPr>
        <w:pStyle w:val="2"/>
      </w:pPr>
    </w:p>
    <w:p>
      <w:pPr>
        <w:pStyle w:val="2"/>
        <w:rPr>
          <w:sz w:val="21"/>
          <w:szCs w:val="21"/>
        </w:rPr>
      </w:pPr>
    </w:p>
    <w:p>
      <w:pPr>
        <w:pStyle w:val="2"/>
        <w:rPr>
          <w:sz w:val="21"/>
          <w:szCs w:val="21"/>
        </w:rPr>
      </w:pPr>
    </w:p>
    <w:p>
      <w:pPr>
        <w:pStyle w:val="2"/>
        <w:spacing w:line="360" w:lineRule="auto"/>
        <w:rPr>
          <w:rFonts w:hint="default" w:ascii="Times New Roman" w:hAnsi="Times New Roman" w:cs="Times New Roman"/>
          <w:lang w:val="en-US" w:eastAsia="zh-CN"/>
        </w:rPr>
      </w:pPr>
      <w:r>
        <w:rPr>
          <w:rFonts w:hint="eastAsia" w:ascii="Times New Roman" w:hAnsi="Times New Roman" w:cs="Times New Roman"/>
          <w:lang w:eastAsia="zh-CN"/>
        </w:rPr>
        <w:t>附件</w:t>
      </w:r>
      <w:r>
        <w:rPr>
          <w:rFonts w:hint="eastAsia" w:ascii="Times New Roman" w:hAnsi="Times New Roman" w:cs="Times New Roman"/>
          <w:lang w:val="en-US" w:eastAsia="zh-CN"/>
        </w:rPr>
        <w:t>4：企业资质证书</w:t>
      </w:r>
    </w:p>
    <w:p>
      <w:pPr>
        <w:pStyle w:val="2"/>
        <w:rPr>
          <w:sz w:val="21"/>
          <w:szCs w:val="21"/>
        </w:rPr>
      </w:pPr>
    </w:p>
    <w:p>
      <w:pPr>
        <w:pStyle w:val="2"/>
        <w:rPr>
          <w:sz w:val="21"/>
          <w:szCs w:val="21"/>
        </w:rPr>
      </w:pPr>
      <w:r>
        <w:rPr>
          <w:rFonts w:hint="eastAsia" w:eastAsia="微软雅黑"/>
        </w:rPr>
        <w:drawing>
          <wp:anchor distT="0" distB="0" distL="114300" distR="114300" simplePos="0" relativeHeight="251668480" behindDoc="1" locked="0" layoutInCell="1" allowOverlap="1">
            <wp:simplePos x="0" y="0"/>
            <wp:positionH relativeFrom="column">
              <wp:posOffset>99060</wp:posOffset>
            </wp:positionH>
            <wp:positionV relativeFrom="paragraph">
              <wp:posOffset>4445</wp:posOffset>
            </wp:positionV>
            <wp:extent cx="5676900" cy="8028940"/>
            <wp:effectExtent l="0" t="0" r="0" b="10160"/>
            <wp:wrapNone/>
            <wp:docPr id="38" name="图片 38" descr="资质认定证书原件扫描（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质认定证书原件扫描（验收）"/>
                    <pic:cNvPicPr>
                      <a:picLocks noChangeAspect="1"/>
                    </pic:cNvPicPr>
                  </pic:nvPicPr>
                  <pic:blipFill>
                    <a:blip r:embed="rId16" cstate="print"/>
                    <a:stretch>
                      <a:fillRect/>
                    </a:stretch>
                  </pic:blipFill>
                  <pic:spPr>
                    <a:xfrm>
                      <a:off x="0" y="0"/>
                      <a:ext cx="5676900" cy="8028940"/>
                    </a:xfrm>
                    <a:prstGeom prst="rect">
                      <a:avLst/>
                    </a:prstGeom>
                  </pic:spPr>
                </pic:pic>
              </a:graphicData>
            </a:graphic>
          </wp:anchor>
        </w:drawing>
      </w: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pPr>
    </w:p>
    <w:p>
      <w:pPr>
        <w:pStyle w:val="2"/>
      </w:pPr>
    </w:p>
    <w:p/>
    <w:p/>
    <w:p/>
    <w:p>
      <w:pPr>
        <w:pStyle w:val="2"/>
      </w:pPr>
    </w:p>
    <w:p>
      <w:pPr>
        <w:pStyle w:val="2"/>
      </w:pPr>
    </w:p>
    <w:p>
      <w:pPr>
        <w:pStyle w:val="2"/>
      </w:pPr>
    </w:p>
    <w:p>
      <w:pPr>
        <w:pStyle w:val="2"/>
        <w:rPr>
          <w:rFonts w:hAnsi="宋体"/>
          <w:sz w:val="22"/>
          <w:szCs w:val="22"/>
        </w:rPr>
      </w:pPr>
    </w:p>
    <w:p>
      <w:pPr>
        <w:pStyle w:val="2"/>
        <w:rPr>
          <w:rFonts w:hAnsi="宋体"/>
          <w:sz w:val="22"/>
          <w:szCs w:val="22"/>
        </w:rPr>
      </w:pPr>
    </w:p>
    <w:p/>
    <w:p/>
    <w:p>
      <w:pPr>
        <w:pStyle w:val="2"/>
        <w:rPr>
          <w:rFonts w:hAnsi="宋体"/>
          <w:sz w:val="22"/>
          <w:szCs w:val="22"/>
        </w:rPr>
      </w:pPr>
    </w:p>
    <w:p>
      <w:pPr>
        <w:pStyle w:val="2"/>
        <w:rPr>
          <w:rFonts w:hAnsi="宋体"/>
          <w:sz w:val="22"/>
          <w:szCs w:val="22"/>
        </w:rPr>
      </w:pPr>
    </w:p>
    <w:p/>
    <w:p>
      <w:pPr>
        <w:pStyle w:val="2"/>
        <w:tabs>
          <w:tab w:val="left" w:pos="6822"/>
        </w:tabs>
      </w:pPr>
      <w:r>
        <w:rPr>
          <w:rFonts w:hint="eastAsia" w:hAnsi="宋体"/>
          <w:sz w:val="22"/>
          <w:szCs w:val="22"/>
        </w:rPr>
        <w:tab/>
      </w:r>
    </w:p>
    <w:p>
      <w:pPr>
        <w:pStyle w:val="2"/>
        <w:rPr>
          <w:rFonts w:hAnsi="宋体"/>
          <w:sz w:val="22"/>
          <w:szCs w:val="22"/>
        </w:rPr>
      </w:pPr>
    </w:p>
    <w:p/>
    <w:p>
      <w:pPr>
        <w:pStyle w:val="2"/>
        <w:rPr>
          <w:rFonts w:hAnsi="宋体"/>
          <w:sz w:val="22"/>
          <w:szCs w:val="22"/>
        </w:rPr>
      </w:pPr>
    </w:p>
    <w:p>
      <w:pPr>
        <w:pStyle w:val="2"/>
        <w:spacing w:line="360" w:lineRule="auto"/>
      </w:pPr>
      <w:r>
        <w:rPr>
          <w:rFonts w:hint="eastAsia" w:ascii="Times New Roman" w:hAnsi="Times New Roman" w:cs="Times New Roman"/>
          <w:lang w:eastAsia="zh-CN"/>
        </w:rPr>
        <w:t>附图1：现场采样图片</w:t>
      </w:r>
    </w:p>
    <w:p/>
    <w:p>
      <w:pPr>
        <w:pStyle w:val="2"/>
        <w:rPr>
          <w:rFonts w:hAnsi="宋体"/>
          <w:sz w:val="22"/>
          <w:szCs w:val="22"/>
        </w:rPr>
      </w:pPr>
    </w:p>
    <w:p>
      <w:pPr>
        <w:pStyle w:val="2"/>
        <w:rPr>
          <w:rFonts w:hAnsi="宋体"/>
          <w:sz w:val="22"/>
          <w:szCs w:val="22"/>
        </w:rPr>
      </w:pPr>
      <w:r>
        <w:rPr>
          <w:rFonts w:hint="eastAsia" w:ascii="Times New Roman" w:hAnsi="Times New Roman" w:eastAsia="宋体"/>
          <w:color w:val="000000"/>
          <w:sz w:val="24"/>
          <w:szCs w:val="24"/>
        </w:rPr>
        <w:drawing>
          <wp:anchor distT="0" distB="0" distL="114300" distR="114300" simplePos="0" relativeHeight="251673600" behindDoc="1" locked="0" layoutInCell="1" allowOverlap="1">
            <wp:simplePos x="0" y="0"/>
            <wp:positionH relativeFrom="column">
              <wp:posOffset>2066290</wp:posOffset>
            </wp:positionH>
            <wp:positionV relativeFrom="paragraph">
              <wp:posOffset>53340</wp:posOffset>
            </wp:positionV>
            <wp:extent cx="1936750" cy="1800860"/>
            <wp:effectExtent l="0" t="0" r="6350" b="8890"/>
            <wp:wrapNone/>
            <wp:docPr id="11" name="图片 5" descr="C:\Users\SEC\Documents\Tencent Files\2697806528\FileRecv\MobileFile\Cache_21ca8d1c35c0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SEC\Documents\Tencent Files\2697806528\FileRecv\MobileFile\Cache_21ca8d1c35c07339..jpg"/>
                    <pic:cNvPicPr>
                      <a:picLocks noChangeAspect="1" noChangeArrowheads="1"/>
                    </pic:cNvPicPr>
                  </pic:nvPicPr>
                  <pic:blipFill>
                    <a:blip r:embed="rId17" cstate="print"/>
                    <a:srcRect/>
                    <a:stretch>
                      <a:fillRect/>
                    </a:stretch>
                  </pic:blipFill>
                  <pic:spPr>
                    <a:xfrm>
                      <a:off x="0" y="0"/>
                      <a:ext cx="1936750" cy="1800860"/>
                    </a:xfrm>
                    <a:prstGeom prst="rect">
                      <a:avLst/>
                    </a:prstGeom>
                    <a:noFill/>
                    <a:ln w="9525">
                      <a:noFill/>
                      <a:miter lim="800000"/>
                      <a:headEnd/>
                      <a:tailEnd/>
                    </a:ln>
                  </pic:spPr>
                </pic:pic>
              </a:graphicData>
            </a:graphic>
          </wp:anchor>
        </w:drawing>
      </w:r>
      <w:r>
        <w:rPr>
          <w:rFonts w:hAnsi="宋体"/>
          <w:sz w:val="22"/>
          <w:szCs w:val="22"/>
        </w:rPr>
        <w:drawing>
          <wp:anchor distT="0" distB="0" distL="114300" distR="114300" simplePos="0" relativeHeight="251675648" behindDoc="1" locked="0" layoutInCell="1" allowOverlap="1">
            <wp:simplePos x="0" y="0"/>
            <wp:positionH relativeFrom="column">
              <wp:posOffset>4076065</wp:posOffset>
            </wp:positionH>
            <wp:positionV relativeFrom="paragraph">
              <wp:posOffset>58420</wp:posOffset>
            </wp:positionV>
            <wp:extent cx="2000885" cy="1794510"/>
            <wp:effectExtent l="0" t="0" r="18415" b="15240"/>
            <wp:wrapNone/>
            <wp:docPr id="13" name="图片 4" descr="C:\Users\SEC\Documents\Tencent Files\2697806528\FileRecv\MobileFile\Cache_1a4dca696e03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SEC\Documents\Tencent Files\2697806528\FileRecv\MobileFile\Cache_1a4dca696e035993..jpg"/>
                    <pic:cNvPicPr>
                      <a:picLocks noChangeAspect="1" noChangeArrowheads="1"/>
                    </pic:cNvPicPr>
                  </pic:nvPicPr>
                  <pic:blipFill>
                    <a:blip r:embed="rId18" cstate="print"/>
                    <a:srcRect/>
                    <a:stretch>
                      <a:fillRect/>
                    </a:stretch>
                  </pic:blipFill>
                  <pic:spPr>
                    <a:xfrm>
                      <a:off x="0" y="0"/>
                      <a:ext cx="2002183" cy="1794510"/>
                    </a:xfrm>
                    <a:prstGeom prst="rect">
                      <a:avLst/>
                    </a:prstGeom>
                    <a:noFill/>
                    <a:ln w="9525">
                      <a:noFill/>
                      <a:miter lim="800000"/>
                      <a:headEnd/>
                      <a:tailEnd/>
                    </a:ln>
                  </pic:spPr>
                </pic:pic>
              </a:graphicData>
            </a:graphic>
          </wp:anchor>
        </w:drawing>
      </w:r>
      <w:r>
        <w:rPr>
          <w:rFonts w:hint="eastAsia" w:ascii="Times New Roman" w:hAnsi="Times New Roman" w:eastAsia="宋体"/>
          <w:color w:val="000000"/>
          <w:sz w:val="24"/>
          <w:szCs w:val="24"/>
        </w:rPr>
        <w:drawing>
          <wp:anchor distT="0" distB="0" distL="114300" distR="114300" simplePos="0" relativeHeight="251674624" behindDoc="1" locked="0" layoutInCell="1" allowOverlap="1">
            <wp:simplePos x="0" y="0"/>
            <wp:positionH relativeFrom="column">
              <wp:posOffset>8890</wp:posOffset>
            </wp:positionH>
            <wp:positionV relativeFrom="paragraph">
              <wp:posOffset>65405</wp:posOffset>
            </wp:positionV>
            <wp:extent cx="2012950" cy="1788795"/>
            <wp:effectExtent l="19050" t="0" r="6350" b="0"/>
            <wp:wrapNone/>
            <wp:docPr id="14" name="图片 7" descr="C:\Users\SEC\Documents\Tencent Files\2697806528\FileRecv\MobileFile\Cache_-41079455bad3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SEC\Documents\Tencent Files\2697806528\FileRecv\MobileFile\Cache_-41079455bad3b300..jpg"/>
                    <pic:cNvPicPr>
                      <a:picLocks noChangeAspect="1" noChangeArrowheads="1"/>
                    </pic:cNvPicPr>
                  </pic:nvPicPr>
                  <pic:blipFill>
                    <a:blip r:embed="rId19" cstate="print"/>
                    <a:srcRect/>
                    <a:stretch>
                      <a:fillRect/>
                    </a:stretch>
                  </pic:blipFill>
                  <pic:spPr>
                    <a:xfrm>
                      <a:off x="0" y="0"/>
                      <a:ext cx="2012950" cy="1788795"/>
                    </a:xfrm>
                    <a:prstGeom prst="rect">
                      <a:avLst/>
                    </a:prstGeom>
                    <a:noFill/>
                    <a:ln w="9525">
                      <a:noFill/>
                      <a:miter lim="800000"/>
                      <a:headEnd/>
                      <a:tailEnd/>
                    </a:ln>
                  </pic:spPr>
                </pic:pic>
              </a:graphicData>
            </a:graphic>
          </wp:anchor>
        </w:drawing>
      </w:r>
    </w:p>
    <w:p>
      <w:pPr>
        <w:pStyle w:val="2"/>
        <w:rPr>
          <w:rFonts w:hAnsi="宋体"/>
          <w:sz w:val="22"/>
          <w:szCs w:val="22"/>
        </w:rPr>
      </w:pPr>
    </w:p>
    <w:p>
      <w:pPr>
        <w:pStyle w:val="2"/>
        <w:tabs>
          <w:tab w:val="left" w:pos="8322"/>
        </w:tabs>
        <w:rPr>
          <w:rFonts w:ascii="Times New Roman" w:hAnsi="Times New Roman" w:cs="Times New Roman"/>
        </w:rPr>
      </w:pPr>
    </w:p>
    <w:p>
      <w:pPr>
        <w:pStyle w:val="2"/>
        <w:spacing w:line="360" w:lineRule="auto"/>
        <w:ind w:firstLine="480" w:firstLineChars="200"/>
        <w:rPr>
          <w:rFonts w:ascii="Times New Roman" w:hAnsi="Times New Roman" w:cs="Times New Roman"/>
        </w:rPr>
      </w:pPr>
    </w:p>
    <w:p>
      <w:pPr>
        <w:pStyle w:val="2"/>
        <w:spacing w:line="360" w:lineRule="auto"/>
        <w:ind w:firstLine="560" w:firstLineChars="200"/>
        <w:rPr>
          <w:rFonts w:ascii="Times New Roman" w:hAnsi="Times New Roman" w:cs="Times New Roman"/>
          <w:sz w:val="28"/>
          <w:szCs w:val="28"/>
        </w:rPr>
      </w:pPr>
    </w:p>
    <w:p>
      <w:pPr>
        <w:pStyle w:val="2"/>
        <w:spacing w:line="360" w:lineRule="auto"/>
        <w:ind w:firstLine="560" w:firstLineChars="200"/>
        <w:rPr>
          <w:rFonts w:ascii="Times New Roman" w:hAnsi="Times New Roman" w:cs="Times New Roman"/>
          <w:sz w:val="28"/>
          <w:szCs w:val="28"/>
        </w:rPr>
      </w:pPr>
    </w:p>
    <w:p>
      <w:pPr>
        <w:pStyle w:val="2"/>
        <w:spacing w:line="360" w:lineRule="auto"/>
        <w:ind w:firstLine="560" w:firstLineChars="200"/>
        <w:rPr>
          <w:rFonts w:ascii="Times New Roman" w:hAnsi="Times New Roman" w:cs="Times New Roman"/>
          <w:sz w:val="28"/>
          <w:szCs w:val="28"/>
        </w:rPr>
      </w:pPr>
    </w:p>
    <w:p>
      <w:pPr>
        <w:pStyle w:val="2"/>
        <w:spacing w:line="360" w:lineRule="auto"/>
        <w:ind w:firstLine="560" w:firstLineChars="200"/>
        <w:rPr>
          <w:rFonts w:ascii="Times New Roman" w:hAnsi="Times New Roman" w:cs="Times New Roman"/>
          <w:sz w:val="28"/>
          <w:szCs w:val="28"/>
        </w:rPr>
      </w:pPr>
    </w:p>
    <w:p>
      <w:pPr>
        <w:pStyle w:val="2"/>
        <w:spacing w:line="360" w:lineRule="auto"/>
        <w:ind w:firstLine="480" w:firstLineChars="200"/>
        <w:rPr>
          <w:rFonts w:ascii="Times New Roman" w:hAnsi="Times New Roman" w:cs="Times New Roman"/>
          <w:sz w:val="28"/>
          <w:szCs w:val="28"/>
        </w:rPr>
      </w:pPr>
      <w:r>
        <w:rPr>
          <w:rFonts w:hint="eastAsia" w:ascii="Times New Roman" w:hAnsi="Times New Roman" w:eastAsia="宋体"/>
          <w:color w:val="000000"/>
          <w:sz w:val="24"/>
          <w:szCs w:val="24"/>
        </w:rPr>
        <w:drawing>
          <wp:anchor distT="0" distB="0" distL="114300" distR="114300" simplePos="0" relativeHeight="251672576" behindDoc="1" locked="0" layoutInCell="1" allowOverlap="1">
            <wp:simplePos x="0" y="0"/>
            <wp:positionH relativeFrom="column">
              <wp:posOffset>-21590</wp:posOffset>
            </wp:positionH>
            <wp:positionV relativeFrom="paragraph">
              <wp:posOffset>33020</wp:posOffset>
            </wp:positionV>
            <wp:extent cx="1760855" cy="1788795"/>
            <wp:effectExtent l="0" t="0" r="10795" b="1905"/>
            <wp:wrapNone/>
            <wp:docPr id="12" name="图片 6" descr="C:\Users\SEC\Documents\Tencent Files\2697806528\FileRecv\MobileFile\Cache_-339ce777f641c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SEC\Documents\Tencent Files\2697806528\FileRecv\MobileFile\Cache_-339ce777f641c686..jpg"/>
                    <pic:cNvPicPr>
                      <a:picLocks noChangeAspect="1" noChangeArrowheads="1"/>
                    </pic:cNvPicPr>
                  </pic:nvPicPr>
                  <pic:blipFill>
                    <a:blip r:embed="rId20" cstate="print"/>
                    <a:srcRect/>
                    <a:stretch>
                      <a:fillRect/>
                    </a:stretch>
                  </pic:blipFill>
                  <pic:spPr>
                    <a:xfrm>
                      <a:off x="0" y="0"/>
                      <a:ext cx="1760855" cy="1788795"/>
                    </a:xfrm>
                    <a:prstGeom prst="rect">
                      <a:avLst/>
                    </a:prstGeom>
                    <a:noFill/>
                    <a:ln w="9525">
                      <a:noFill/>
                      <a:miter lim="800000"/>
                      <a:headEnd/>
                      <a:tailEnd/>
                    </a:ln>
                  </pic:spPr>
                </pic:pic>
              </a:graphicData>
            </a:graphic>
          </wp:anchor>
        </w:drawing>
      </w:r>
      <w:r>
        <w:rPr>
          <w:rFonts w:hAnsi="宋体"/>
          <w:sz w:val="22"/>
          <w:szCs w:val="22"/>
        </w:rPr>
        <w:drawing>
          <wp:anchor distT="0" distB="0" distL="114300" distR="114300" simplePos="0" relativeHeight="251669504" behindDoc="1" locked="0" layoutInCell="1" allowOverlap="1">
            <wp:simplePos x="0" y="0"/>
            <wp:positionH relativeFrom="column">
              <wp:posOffset>4079875</wp:posOffset>
            </wp:positionH>
            <wp:positionV relativeFrom="paragraph">
              <wp:posOffset>32385</wp:posOffset>
            </wp:positionV>
            <wp:extent cx="1994535" cy="1766570"/>
            <wp:effectExtent l="0" t="0" r="5715" b="5080"/>
            <wp:wrapNone/>
            <wp:docPr id="1" name="图片 1" descr="C:\Users\SEC\Documents\Tencent Files\2697806528\FileRecv\MobileFile\Cache_-73d7bd0a7b820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EC\Documents\Tencent Files\2697806528\FileRecv\MobileFile\Cache_-73d7bd0a7b8206ff..jpg"/>
                    <pic:cNvPicPr>
                      <a:picLocks noChangeAspect="1" noChangeArrowheads="1"/>
                    </pic:cNvPicPr>
                  </pic:nvPicPr>
                  <pic:blipFill>
                    <a:blip r:embed="rId21" cstate="print"/>
                    <a:srcRect/>
                    <a:stretch>
                      <a:fillRect/>
                    </a:stretch>
                  </pic:blipFill>
                  <pic:spPr>
                    <a:xfrm>
                      <a:off x="0" y="0"/>
                      <a:ext cx="1994232" cy="1766570"/>
                    </a:xfrm>
                    <a:prstGeom prst="rect">
                      <a:avLst/>
                    </a:prstGeom>
                    <a:noFill/>
                    <a:ln w="9525">
                      <a:noFill/>
                      <a:miter lim="800000"/>
                      <a:headEnd/>
                      <a:tailEnd/>
                    </a:ln>
                  </pic:spPr>
                </pic:pic>
              </a:graphicData>
            </a:graphic>
          </wp:anchor>
        </w:drawing>
      </w:r>
      <w:r>
        <w:rPr>
          <w:rFonts w:hAnsi="宋体"/>
          <w:sz w:val="22"/>
          <w:szCs w:val="22"/>
        </w:rPr>
        <w:drawing>
          <wp:anchor distT="0" distB="0" distL="114300" distR="114300" simplePos="0" relativeHeight="251671552" behindDoc="1" locked="0" layoutInCell="1" allowOverlap="1">
            <wp:simplePos x="0" y="0"/>
            <wp:positionH relativeFrom="column">
              <wp:posOffset>1870710</wp:posOffset>
            </wp:positionH>
            <wp:positionV relativeFrom="paragraph">
              <wp:posOffset>45720</wp:posOffset>
            </wp:positionV>
            <wp:extent cx="1889125" cy="1780540"/>
            <wp:effectExtent l="0" t="0" r="15875" b="10160"/>
            <wp:wrapNone/>
            <wp:docPr id="9" name="图片 3" descr="C:\Users\SEC\Documents\Tencent Files\2697806528\FileRecv\MobileFile\Cache_30f09ccf28b5f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SEC\Documents\Tencent Files\2697806528\FileRecv\MobileFile\Cache_30f09ccf28b5f797..jpg"/>
                    <pic:cNvPicPr>
                      <a:picLocks noChangeAspect="1" noChangeArrowheads="1"/>
                    </pic:cNvPicPr>
                  </pic:nvPicPr>
                  <pic:blipFill>
                    <a:blip r:embed="rId22" cstate="print"/>
                    <a:srcRect/>
                    <a:stretch>
                      <a:fillRect/>
                    </a:stretch>
                  </pic:blipFill>
                  <pic:spPr>
                    <a:xfrm>
                      <a:off x="0" y="0"/>
                      <a:ext cx="1889125" cy="1780540"/>
                    </a:xfrm>
                    <a:prstGeom prst="rect">
                      <a:avLst/>
                    </a:prstGeom>
                    <a:noFill/>
                    <a:ln w="9525">
                      <a:noFill/>
                      <a:miter lim="800000"/>
                      <a:headEnd/>
                      <a:tailEnd/>
                    </a:ln>
                  </pic:spPr>
                </pic:pic>
              </a:graphicData>
            </a:graphic>
          </wp:anchor>
        </w:drawing>
      </w:r>
    </w:p>
    <w:p>
      <w:pPr>
        <w:pStyle w:val="2"/>
        <w:spacing w:line="360" w:lineRule="auto"/>
        <w:ind w:firstLine="560" w:firstLineChars="200"/>
        <w:rPr>
          <w:rFonts w:ascii="Times New Roman" w:hAnsi="Times New Roman" w:cs="Times New Roman"/>
          <w:sz w:val="28"/>
          <w:szCs w:val="28"/>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r>
        <w:rPr>
          <w:rFonts w:hAnsi="宋体"/>
          <w:sz w:val="22"/>
          <w:szCs w:val="22"/>
        </w:rPr>
        <w:drawing>
          <wp:anchor distT="0" distB="0" distL="114300" distR="114300" simplePos="0" relativeHeight="251670528" behindDoc="1" locked="0" layoutInCell="1" allowOverlap="1">
            <wp:simplePos x="0" y="0"/>
            <wp:positionH relativeFrom="column">
              <wp:posOffset>-93980</wp:posOffset>
            </wp:positionH>
            <wp:positionV relativeFrom="paragraph">
              <wp:posOffset>202565</wp:posOffset>
            </wp:positionV>
            <wp:extent cx="1940560" cy="1574165"/>
            <wp:effectExtent l="19050" t="0" r="2367" b="0"/>
            <wp:wrapNone/>
            <wp:docPr id="8" name="图片 2" descr="C:\Users\SEC\Documents\Tencent Files\2697806528\FileRecv\MobileFile\Cache_-4dfe4a22bc59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SEC\Documents\Tencent Files\2697806528\FileRecv\MobileFile\Cache_-4dfe4a22bc595413..jpg"/>
                    <pic:cNvPicPr>
                      <a:picLocks noChangeAspect="1" noChangeArrowheads="1"/>
                    </pic:cNvPicPr>
                  </pic:nvPicPr>
                  <pic:blipFill>
                    <a:blip r:embed="rId23" cstate="print"/>
                    <a:srcRect/>
                    <a:stretch>
                      <a:fillRect/>
                    </a:stretch>
                  </pic:blipFill>
                  <pic:spPr>
                    <a:xfrm>
                      <a:off x="0" y="0"/>
                      <a:ext cx="1939976" cy="1573744"/>
                    </a:xfrm>
                    <a:prstGeom prst="rect">
                      <a:avLst/>
                    </a:prstGeom>
                    <a:noFill/>
                    <a:ln w="9525">
                      <a:noFill/>
                      <a:miter lim="800000"/>
                      <a:headEnd/>
                      <a:tailEnd/>
                    </a:ln>
                  </pic:spPr>
                </pic:pic>
              </a:graphicData>
            </a:graphic>
          </wp:anchor>
        </w:drawing>
      </w: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pStyle w:val="2"/>
        <w:rPr>
          <w:rFonts w:hint="eastAsia" w:ascii="Times New Roman" w:hAnsi="Times New Roman" w:eastAsia="宋体"/>
          <w:sz w:val="24"/>
          <w:szCs w:val="24"/>
        </w:rPr>
      </w:pPr>
    </w:p>
    <w:p>
      <w:pPr>
        <w:pStyle w:val="2"/>
        <w:rPr>
          <w:rFonts w:hint="eastAsia" w:ascii="Times New Roman" w:hAnsi="Times New Roman" w:eastAsia="宋体"/>
          <w:sz w:val="24"/>
          <w:szCs w:val="24"/>
        </w:rPr>
      </w:pPr>
    </w:p>
    <w:p>
      <w:pPr>
        <w:pStyle w:val="2"/>
        <w:rPr>
          <w:rFonts w:hint="eastAsia" w:ascii="Times New Roman" w:hAnsi="Times New Roman" w:eastAsia="宋体"/>
          <w:sz w:val="24"/>
          <w:szCs w:val="24"/>
        </w:rPr>
      </w:pPr>
    </w:p>
    <w:p>
      <w:pPr>
        <w:pStyle w:val="2"/>
        <w:rPr>
          <w:rFonts w:hint="eastAsia" w:ascii="Times New Roman" w:hAnsi="Times New Roman" w:eastAsia="宋体"/>
          <w:sz w:val="24"/>
          <w:szCs w:val="24"/>
        </w:rPr>
      </w:pPr>
    </w:p>
    <w:p>
      <w:pPr>
        <w:pStyle w:val="2"/>
        <w:rPr>
          <w:rFonts w:hint="eastAsia" w:ascii="Times New Roman" w:hAnsi="Times New Roman" w:eastAsia="宋体"/>
          <w:sz w:val="24"/>
          <w:szCs w:val="24"/>
        </w:rPr>
      </w:pPr>
    </w:p>
    <w:p>
      <w:pPr>
        <w:pStyle w:val="2"/>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hint="eastAsia" w:ascii="Times New Roman" w:hAnsi="Times New Roman" w:eastAsia="宋体"/>
          <w:sz w:val="24"/>
          <w:szCs w:val="24"/>
        </w:rPr>
      </w:pPr>
    </w:p>
    <w:p>
      <w:pPr>
        <w:spacing w:line="360" w:lineRule="auto"/>
        <w:rPr>
          <w:rFonts w:ascii="Times New Roman" w:hAnsi="Times New Roman" w:eastAsia="宋体"/>
          <w:sz w:val="24"/>
          <w:szCs w:val="24"/>
        </w:rPr>
      </w:pPr>
      <w:r>
        <w:rPr>
          <w:rFonts w:hint="eastAsia" w:ascii="Times New Roman" w:hAnsi="Times New Roman" w:eastAsia="宋体"/>
          <w:sz w:val="24"/>
          <w:szCs w:val="24"/>
        </w:rPr>
        <w:drawing>
          <wp:anchor distT="0" distB="0" distL="114300" distR="114300" simplePos="0" relativeHeight="251678720" behindDoc="1" locked="0" layoutInCell="1" allowOverlap="1">
            <wp:simplePos x="0" y="0"/>
            <wp:positionH relativeFrom="column">
              <wp:posOffset>4021455</wp:posOffset>
            </wp:positionH>
            <wp:positionV relativeFrom="paragraph">
              <wp:posOffset>198755</wp:posOffset>
            </wp:positionV>
            <wp:extent cx="1889125" cy="1494790"/>
            <wp:effectExtent l="19050" t="0" r="0" b="0"/>
            <wp:wrapNone/>
            <wp:docPr id="18" name="图片 11" descr="C:\Users\SEC\Documents\Tencent Files\2697806528\FileRecv\MobileFile\Cache_2d6551b68b23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SEC\Documents\Tencent Files\2697806528\FileRecv\MobileFile\Cache_2d6551b68b233266..jpg"/>
                    <pic:cNvPicPr>
                      <a:picLocks noChangeAspect="1" noChangeArrowheads="1"/>
                    </pic:cNvPicPr>
                  </pic:nvPicPr>
                  <pic:blipFill>
                    <a:blip r:embed="rId24" cstate="print"/>
                    <a:srcRect/>
                    <a:stretch>
                      <a:fillRect/>
                    </a:stretch>
                  </pic:blipFill>
                  <pic:spPr>
                    <a:xfrm>
                      <a:off x="0" y="0"/>
                      <a:ext cx="1889125" cy="1494790"/>
                    </a:xfrm>
                    <a:prstGeom prst="rect">
                      <a:avLst/>
                    </a:prstGeom>
                    <a:noFill/>
                    <a:ln w="9525">
                      <a:noFill/>
                      <a:miter lim="800000"/>
                      <a:headEnd/>
                      <a:tailEnd/>
                    </a:ln>
                  </pic:spPr>
                </pic:pic>
              </a:graphicData>
            </a:graphic>
          </wp:anchor>
        </w:drawing>
      </w:r>
      <w:r>
        <w:rPr>
          <w:rFonts w:hint="eastAsia" w:ascii="Times New Roman" w:hAnsi="Times New Roman" w:eastAsia="宋体"/>
          <w:sz w:val="24"/>
          <w:szCs w:val="24"/>
        </w:rPr>
        <w:drawing>
          <wp:anchor distT="0" distB="0" distL="114300" distR="114300" simplePos="0" relativeHeight="251677696" behindDoc="1" locked="0" layoutInCell="1" allowOverlap="1">
            <wp:simplePos x="0" y="0"/>
            <wp:positionH relativeFrom="column">
              <wp:posOffset>2129155</wp:posOffset>
            </wp:positionH>
            <wp:positionV relativeFrom="paragraph">
              <wp:posOffset>198755</wp:posOffset>
            </wp:positionV>
            <wp:extent cx="1889125" cy="1494790"/>
            <wp:effectExtent l="19050" t="0" r="0" b="0"/>
            <wp:wrapNone/>
            <wp:docPr id="16" name="图片 9" descr="C:\Users\SEC\Documents\Tencent Files\2697806528\FileRecv\MobileFile\Cache_59eee13a3288d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SEC\Documents\Tencent Files\2697806528\FileRecv\MobileFile\Cache_59eee13a3288d755..jpg"/>
                    <pic:cNvPicPr>
                      <a:picLocks noChangeAspect="1" noChangeArrowheads="1"/>
                    </pic:cNvPicPr>
                  </pic:nvPicPr>
                  <pic:blipFill>
                    <a:blip r:embed="rId25" cstate="print"/>
                    <a:srcRect/>
                    <a:stretch>
                      <a:fillRect/>
                    </a:stretch>
                  </pic:blipFill>
                  <pic:spPr>
                    <a:xfrm>
                      <a:off x="0" y="0"/>
                      <a:ext cx="1889125" cy="1494790"/>
                    </a:xfrm>
                    <a:prstGeom prst="rect">
                      <a:avLst/>
                    </a:prstGeom>
                    <a:noFill/>
                    <a:ln w="9525">
                      <a:noFill/>
                      <a:miter lim="800000"/>
                      <a:headEnd/>
                      <a:tailEnd/>
                    </a:ln>
                  </pic:spPr>
                </pic:pic>
              </a:graphicData>
            </a:graphic>
          </wp:anchor>
        </w:drawing>
      </w:r>
      <w:r>
        <w:rPr>
          <w:rFonts w:hint="eastAsia" w:ascii="Times New Roman" w:hAnsi="Times New Roman" w:eastAsia="宋体"/>
          <w:sz w:val="24"/>
          <w:szCs w:val="24"/>
        </w:rPr>
        <w:drawing>
          <wp:anchor distT="0" distB="0" distL="114300" distR="114300" simplePos="0" relativeHeight="251676672" behindDoc="1" locked="0" layoutInCell="1" allowOverlap="1">
            <wp:simplePos x="0" y="0"/>
            <wp:positionH relativeFrom="column">
              <wp:posOffset>22225</wp:posOffset>
            </wp:positionH>
            <wp:positionV relativeFrom="paragraph">
              <wp:posOffset>198755</wp:posOffset>
            </wp:positionV>
            <wp:extent cx="2103755" cy="1494790"/>
            <wp:effectExtent l="19050" t="0" r="0" b="0"/>
            <wp:wrapNone/>
            <wp:docPr id="15" name="图片 8" descr="C:\Users\SEC\Documents\Tencent Files\2697806528\FileRecv\MobileFile\Cache_-2a943175d32fb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SEC\Documents\Tencent Files\2697806528\FileRecv\MobileFile\Cache_-2a943175d32fb875..jpg"/>
                    <pic:cNvPicPr>
                      <a:picLocks noChangeAspect="1" noChangeArrowheads="1"/>
                    </pic:cNvPicPr>
                  </pic:nvPicPr>
                  <pic:blipFill>
                    <a:blip r:embed="rId26" cstate="print"/>
                    <a:srcRect/>
                    <a:stretch>
                      <a:fillRect/>
                    </a:stretch>
                  </pic:blipFill>
                  <pic:spPr>
                    <a:xfrm>
                      <a:off x="0" y="0"/>
                      <a:ext cx="2103755" cy="1494790"/>
                    </a:xfrm>
                    <a:prstGeom prst="rect">
                      <a:avLst/>
                    </a:prstGeom>
                    <a:noFill/>
                    <a:ln w="9525">
                      <a:noFill/>
                      <a:miter lim="800000"/>
                      <a:headEnd/>
                      <a:tailEnd/>
                    </a:ln>
                  </pic:spPr>
                </pic:pic>
              </a:graphicData>
            </a:graphic>
          </wp:anchor>
        </w:drawing>
      </w:r>
      <w:r>
        <w:rPr>
          <w:rFonts w:hint="eastAsia" w:ascii="Times New Roman" w:hAnsi="Times New Roman" w:eastAsia="宋体"/>
          <w:sz w:val="24"/>
          <w:szCs w:val="24"/>
        </w:rPr>
        <w:t>附图2：环保设施图片</w:t>
      </w: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81792" behindDoc="1" locked="0" layoutInCell="1" allowOverlap="1">
            <wp:simplePos x="0" y="0"/>
            <wp:positionH relativeFrom="column">
              <wp:posOffset>4021455</wp:posOffset>
            </wp:positionH>
            <wp:positionV relativeFrom="paragraph">
              <wp:posOffset>170180</wp:posOffset>
            </wp:positionV>
            <wp:extent cx="1889125" cy="1550670"/>
            <wp:effectExtent l="19050" t="0" r="0" b="0"/>
            <wp:wrapNone/>
            <wp:docPr id="21" name="图片 14" descr="C:\Users\SEC\Documents\Tencent Files\2697806528\FileRecv\MobileFile\Cache_-433b79de972a3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C:\Users\SEC\Documents\Tencent Files\2697806528\FileRecv\MobileFile\Cache_-433b79de972a3c50..jpg"/>
                    <pic:cNvPicPr>
                      <a:picLocks noChangeAspect="1" noChangeArrowheads="1"/>
                    </pic:cNvPicPr>
                  </pic:nvPicPr>
                  <pic:blipFill>
                    <a:blip r:embed="rId27" cstate="print"/>
                    <a:srcRect/>
                    <a:stretch>
                      <a:fillRect/>
                    </a:stretch>
                  </pic:blipFill>
                  <pic:spPr>
                    <a:xfrm>
                      <a:off x="0" y="0"/>
                      <a:ext cx="1889263" cy="1550504"/>
                    </a:xfrm>
                    <a:prstGeom prst="rect">
                      <a:avLst/>
                    </a:prstGeom>
                    <a:noFill/>
                    <a:ln w="9525">
                      <a:noFill/>
                      <a:miter lim="800000"/>
                      <a:headEnd/>
                      <a:tailEnd/>
                    </a:ln>
                  </pic:spPr>
                </pic:pic>
              </a:graphicData>
            </a:graphic>
          </wp:anchor>
        </w:drawing>
      </w:r>
      <w:r>
        <w:rPr>
          <w:rFonts w:ascii="Times New Roman" w:hAnsi="Times New Roman" w:cs="Times New Roman"/>
          <w:sz w:val="28"/>
          <w:szCs w:val="28"/>
        </w:rPr>
        <w:drawing>
          <wp:anchor distT="0" distB="0" distL="114300" distR="114300" simplePos="0" relativeHeight="251680768" behindDoc="1" locked="0" layoutInCell="1" allowOverlap="1">
            <wp:simplePos x="0" y="0"/>
            <wp:positionH relativeFrom="column">
              <wp:posOffset>2129155</wp:posOffset>
            </wp:positionH>
            <wp:positionV relativeFrom="paragraph">
              <wp:posOffset>170180</wp:posOffset>
            </wp:positionV>
            <wp:extent cx="1889125" cy="1550670"/>
            <wp:effectExtent l="19050" t="0" r="0" b="0"/>
            <wp:wrapNone/>
            <wp:docPr id="20" name="图片 13" descr="C:\Users\SEC\Documents\Tencent Files\2697806528\FileRecv\MobileFile\Cache_3dcb8feaeb266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C:\Users\SEC\Documents\Tencent Files\2697806528\FileRecv\MobileFile\Cache_3dcb8feaeb266eb7..jpg"/>
                    <pic:cNvPicPr>
                      <a:picLocks noChangeAspect="1" noChangeArrowheads="1"/>
                    </pic:cNvPicPr>
                  </pic:nvPicPr>
                  <pic:blipFill>
                    <a:blip r:embed="rId28" cstate="print"/>
                    <a:srcRect/>
                    <a:stretch>
                      <a:fillRect/>
                    </a:stretch>
                  </pic:blipFill>
                  <pic:spPr>
                    <a:xfrm>
                      <a:off x="0" y="0"/>
                      <a:ext cx="1889263" cy="1550504"/>
                    </a:xfrm>
                    <a:prstGeom prst="rect">
                      <a:avLst/>
                    </a:prstGeom>
                    <a:noFill/>
                    <a:ln w="9525">
                      <a:noFill/>
                      <a:miter lim="800000"/>
                      <a:headEnd/>
                      <a:tailEnd/>
                    </a:ln>
                  </pic:spPr>
                </pic:pic>
              </a:graphicData>
            </a:graphic>
          </wp:anchor>
        </w:drawing>
      </w:r>
      <w:r>
        <w:rPr>
          <w:rFonts w:ascii="Times New Roman" w:hAnsi="Times New Roman" w:cs="Times New Roman"/>
          <w:sz w:val="28"/>
          <w:szCs w:val="28"/>
        </w:rPr>
        <w:drawing>
          <wp:anchor distT="0" distB="0" distL="114300" distR="114300" simplePos="0" relativeHeight="251679744" behindDoc="1" locked="0" layoutInCell="1" allowOverlap="1">
            <wp:simplePos x="0" y="0"/>
            <wp:positionH relativeFrom="column">
              <wp:posOffset>22225</wp:posOffset>
            </wp:positionH>
            <wp:positionV relativeFrom="paragraph">
              <wp:posOffset>170180</wp:posOffset>
            </wp:positionV>
            <wp:extent cx="2103755" cy="1550670"/>
            <wp:effectExtent l="19050" t="0" r="0" b="0"/>
            <wp:wrapNone/>
            <wp:docPr id="19" name="图片 12" descr="C:\Users\SEC\Documents\Tencent Files\2697806528\FileRecv\MobileFile\Cache_7dbe3673a37e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C:\Users\SEC\Documents\Tencent Files\2697806528\FileRecv\MobileFile\Cache_7dbe3673a37e4199..jpg"/>
                    <pic:cNvPicPr>
                      <a:picLocks noChangeAspect="1" noChangeArrowheads="1"/>
                    </pic:cNvPicPr>
                  </pic:nvPicPr>
                  <pic:blipFill>
                    <a:blip r:embed="rId29" cstate="print"/>
                    <a:srcRect/>
                    <a:stretch>
                      <a:fillRect/>
                    </a:stretch>
                  </pic:blipFill>
                  <pic:spPr>
                    <a:xfrm>
                      <a:off x="0" y="0"/>
                      <a:ext cx="2103948" cy="1550504"/>
                    </a:xfrm>
                    <a:prstGeom prst="rect">
                      <a:avLst/>
                    </a:prstGeom>
                    <a:noFill/>
                    <a:ln w="9525">
                      <a:noFill/>
                      <a:miter lim="800000"/>
                      <a:headEnd/>
                      <a:tailEnd/>
                    </a:ln>
                  </pic:spPr>
                </pic:pic>
              </a:graphicData>
            </a:graphic>
          </wp:anchor>
        </w:drawing>
      </w: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84864" behindDoc="1" locked="0" layoutInCell="1" allowOverlap="1">
            <wp:simplePos x="0" y="0"/>
            <wp:positionH relativeFrom="column">
              <wp:posOffset>4021455</wp:posOffset>
            </wp:positionH>
            <wp:positionV relativeFrom="paragraph">
              <wp:posOffset>179070</wp:posOffset>
            </wp:positionV>
            <wp:extent cx="1889125" cy="1415415"/>
            <wp:effectExtent l="19050" t="0" r="0" b="0"/>
            <wp:wrapNone/>
            <wp:docPr id="25" name="图片 17" descr="C:\Users\SEC\Documents\Tencent Files\2697806528\FileRecv\MobileFile\Cache_28a759584bd7f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C:\Users\SEC\Documents\Tencent Files\2697806528\FileRecv\MobileFile\Cache_28a759584bd7fa32..jpg"/>
                    <pic:cNvPicPr>
                      <a:picLocks noChangeAspect="1" noChangeArrowheads="1"/>
                    </pic:cNvPicPr>
                  </pic:nvPicPr>
                  <pic:blipFill>
                    <a:blip r:embed="rId30" cstate="print"/>
                    <a:srcRect/>
                    <a:stretch>
                      <a:fillRect/>
                    </a:stretch>
                  </pic:blipFill>
                  <pic:spPr>
                    <a:xfrm>
                      <a:off x="0" y="0"/>
                      <a:ext cx="1889263" cy="1415332"/>
                    </a:xfrm>
                    <a:prstGeom prst="rect">
                      <a:avLst/>
                    </a:prstGeom>
                    <a:noFill/>
                    <a:ln w="9525">
                      <a:noFill/>
                      <a:miter lim="800000"/>
                      <a:headEnd/>
                      <a:tailEnd/>
                    </a:ln>
                  </pic:spPr>
                </pic:pic>
              </a:graphicData>
            </a:graphic>
          </wp:anchor>
        </w:drawing>
      </w:r>
      <w:r>
        <w:rPr>
          <w:rFonts w:ascii="Times New Roman" w:hAnsi="Times New Roman" w:cs="Times New Roman"/>
          <w:sz w:val="28"/>
          <w:szCs w:val="28"/>
        </w:rPr>
        <w:drawing>
          <wp:anchor distT="0" distB="0" distL="114300" distR="114300" simplePos="0" relativeHeight="251683840" behindDoc="1" locked="0" layoutInCell="1" allowOverlap="1">
            <wp:simplePos x="0" y="0"/>
            <wp:positionH relativeFrom="column">
              <wp:posOffset>2129155</wp:posOffset>
            </wp:positionH>
            <wp:positionV relativeFrom="paragraph">
              <wp:posOffset>179070</wp:posOffset>
            </wp:positionV>
            <wp:extent cx="1889125" cy="1415415"/>
            <wp:effectExtent l="19050" t="0" r="0" b="0"/>
            <wp:wrapNone/>
            <wp:docPr id="24" name="图片 16" descr="C:\Users\SEC\Documents\Tencent Files\2697806528\FileRecv\MobileFile\Cache_cfd6cb1cfedd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C:\Users\SEC\Documents\Tencent Files\2697806528\FileRecv\MobileFile\Cache_cfd6cb1cfedd8df..jpg"/>
                    <pic:cNvPicPr>
                      <a:picLocks noChangeAspect="1" noChangeArrowheads="1"/>
                    </pic:cNvPicPr>
                  </pic:nvPicPr>
                  <pic:blipFill>
                    <a:blip r:embed="rId31" cstate="print"/>
                    <a:srcRect/>
                    <a:stretch>
                      <a:fillRect/>
                    </a:stretch>
                  </pic:blipFill>
                  <pic:spPr>
                    <a:xfrm>
                      <a:off x="0" y="0"/>
                      <a:ext cx="1889263" cy="1415332"/>
                    </a:xfrm>
                    <a:prstGeom prst="rect">
                      <a:avLst/>
                    </a:prstGeom>
                    <a:noFill/>
                    <a:ln w="9525">
                      <a:noFill/>
                      <a:miter lim="800000"/>
                      <a:headEnd/>
                      <a:tailEnd/>
                    </a:ln>
                  </pic:spPr>
                </pic:pic>
              </a:graphicData>
            </a:graphic>
          </wp:anchor>
        </w:drawing>
      </w:r>
      <w:r>
        <w:rPr>
          <w:rFonts w:ascii="Times New Roman" w:hAnsi="Times New Roman" w:cs="Times New Roman"/>
          <w:sz w:val="28"/>
          <w:szCs w:val="28"/>
        </w:rPr>
        <w:drawing>
          <wp:anchor distT="0" distB="0" distL="114300" distR="114300" simplePos="0" relativeHeight="251682816" behindDoc="1" locked="0" layoutInCell="1" allowOverlap="1">
            <wp:simplePos x="0" y="0"/>
            <wp:positionH relativeFrom="column">
              <wp:posOffset>22225</wp:posOffset>
            </wp:positionH>
            <wp:positionV relativeFrom="paragraph">
              <wp:posOffset>186690</wp:posOffset>
            </wp:positionV>
            <wp:extent cx="2103755" cy="1415415"/>
            <wp:effectExtent l="19050" t="0" r="0" b="0"/>
            <wp:wrapNone/>
            <wp:docPr id="22" name="图片 15" descr="C:\Users\SEC\Documents\Tencent Files\2697806528\FileRecv\MobileFile\Cache_5cb578a328950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EC\Documents\Tencent Files\2697806528\FileRecv\MobileFile\Cache_5cb578a32895048d..jpg"/>
                    <pic:cNvPicPr>
                      <a:picLocks noChangeAspect="1" noChangeArrowheads="1"/>
                    </pic:cNvPicPr>
                  </pic:nvPicPr>
                  <pic:blipFill>
                    <a:blip r:embed="rId32" cstate="print"/>
                    <a:srcRect/>
                    <a:stretch>
                      <a:fillRect/>
                    </a:stretch>
                  </pic:blipFill>
                  <pic:spPr>
                    <a:xfrm>
                      <a:off x="0" y="0"/>
                      <a:ext cx="2103948" cy="1415332"/>
                    </a:xfrm>
                    <a:prstGeom prst="rect">
                      <a:avLst/>
                    </a:prstGeom>
                    <a:noFill/>
                    <a:ln w="9525">
                      <a:noFill/>
                      <a:miter lim="800000"/>
                      <a:headEnd/>
                      <a:tailEnd/>
                    </a:ln>
                  </pic:spPr>
                </pic:pic>
              </a:graphicData>
            </a:graphic>
          </wp:anchor>
        </w:drawing>
      </w: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r>
        <w:rPr>
          <w:rFonts w:hint="eastAsia" w:ascii="Times New Roman" w:hAnsi="Times New Roman" w:cs="Times New Roman"/>
          <w:sz w:val="28"/>
          <w:szCs w:val="28"/>
        </w:rPr>
        <w:drawing>
          <wp:anchor distT="0" distB="0" distL="114300" distR="114300" simplePos="0" relativeHeight="251687936" behindDoc="1" locked="0" layoutInCell="1" allowOverlap="1">
            <wp:simplePos x="0" y="0"/>
            <wp:positionH relativeFrom="column">
              <wp:posOffset>4021455</wp:posOffset>
            </wp:positionH>
            <wp:positionV relativeFrom="paragraph">
              <wp:posOffset>61595</wp:posOffset>
            </wp:positionV>
            <wp:extent cx="1889125" cy="1415415"/>
            <wp:effectExtent l="19050" t="0" r="0" b="0"/>
            <wp:wrapNone/>
            <wp:docPr id="31" name="图片 20" descr="C:\Users\SEC\Documents\Tencent Files\2697806528\FileRecv\MobileFile\Cache_79d530496ebaa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C:\Users\SEC\Documents\Tencent Files\2697806528\FileRecv\MobileFile\Cache_79d530496ebaafd7..jpg"/>
                    <pic:cNvPicPr>
                      <a:picLocks noChangeAspect="1" noChangeArrowheads="1"/>
                    </pic:cNvPicPr>
                  </pic:nvPicPr>
                  <pic:blipFill>
                    <a:blip r:embed="rId33" cstate="print"/>
                    <a:srcRect/>
                    <a:stretch>
                      <a:fillRect/>
                    </a:stretch>
                  </pic:blipFill>
                  <pic:spPr>
                    <a:xfrm>
                      <a:off x="0" y="0"/>
                      <a:ext cx="1889263" cy="1415333"/>
                    </a:xfrm>
                    <a:prstGeom prst="rect">
                      <a:avLst/>
                    </a:prstGeom>
                    <a:noFill/>
                    <a:ln w="9525">
                      <a:noFill/>
                      <a:miter lim="800000"/>
                      <a:headEnd/>
                      <a:tailEnd/>
                    </a:ln>
                  </pic:spPr>
                </pic:pic>
              </a:graphicData>
            </a:graphic>
          </wp:anchor>
        </w:drawing>
      </w:r>
      <w:r>
        <w:rPr>
          <w:rFonts w:hint="eastAsia" w:ascii="Times New Roman" w:hAnsi="Times New Roman" w:cs="Times New Roman"/>
          <w:sz w:val="28"/>
          <w:szCs w:val="28"/>
        </w:rPr>
        <w:drawing>
          <wp:anchor distT="0" distB="0" distL="114300" distR="114300" simplePos="0" relativeHeight="251686912" behindDoc="1" locked="0" layoutInCell="1" allowOverlap="1">
            <wp:simplePos x="0" y="0"/>
            <wp:positionH relativeFrom="column">
              <wp:posOffset>2121535</wp:posOffset>
            </wp:positionH>
            <wp:positionV relativeFrom="paragraph">
              <wp:posOffset>61595</wp:posOffset>
            </wp:positionV>
            <wp:extent cx="1905000" cy="1423035"/>
            <wp:effectExtent l="19050" t="0" r="0" b="0"/>
            <wp:wrapNone/>
            <wp:docPr id="30" name="图片 19" descr="C:\Users\SEC\Documents\Tencent Files\2697806528\FileRecv\MobileFile\Cache_-2df7261a6fa7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C:\Users\SEC\Documents\Tencent Files\2697806528\FileRecv\MobileFile\Cache_-2df7261a6fa7af3..jpg"/>
                    <pic:cNvPicPr>
                      <a:picLocks noChangeAspect="1" noChangeArrowheads="1"/>
                    </pic:cNvPicPr>
                  </pic:nvPicPr>
                  <pic:blipFill>
                    <a:blip r:embed="rId34" cstate="print"/>
                    <a:srcRect/>
                    <a:stretch>
                      <a:fillRect/>
                    </a:stretch>
                  </pic:blipFill>
                  <pic:spPr>
                    <a:xfrm>
                      <a:off x="0" y="0"/>
                      <a:ext cx="1905166" cy="1423284"/>
                    </a:xfrm>
                    <a:prstGeom prst="rect">
                      <a:avLst/>
                    </a:prstGeom>
                    <a:noFill/>
                    <a:ln w="9525">
                      <a:noFill/>
                      <a:miter lim="800000"/>
                      <a:headEnd/>
                      <a:tailEnd/>
                    </a:ln>
                  </pic:spPr>
                </pic:pic>
              </a:graphicData>
            </a:graphic>
          </wp:anchor>
        </w:drawing>
      </w:r>
      <w:r>
        <w:rPr>
          <w:rFonts w:hint="eastAsia" w:ascii="Times New Roman" w:hAnsi="Times New Roman" w:cs="Times New Roman"/>
          <w:sz w:val="28"/>
          <w:szCs w:val="28"/>
        </w:rPr>
        <w:drawing>
          <wp:anchor distT="0" distB="0" distL="114300" distR="114300" simplePos="0" relativeHeight="251685888" behindDoc="1" locked="0" layoutInCell="1" allowOverlap="1">
            <wp:simplePos x="0" y="0"/>
            <wp:positionH relativeFrom="column">
              <wp:posOffset>22225</wp:posOffset>
            </wp:positionH>
            <wp:positionV relativeFrom="paragraph">
              <wp:posOffset>69215</wp:posOffset>
            </wp:positionV>
            <wp:extent cx="2103755" cy="1415415"/>
            <wp:effectExtent l="19050" t="0" r="0" b="0"/>
            <wp:wrapNone/>
            <wp:docPr id="29" name="图片 18" descr="C:\Users\SEC\Documents\Tencent Files\2697806528\FileRecv\MobileFile\Cache_-2c1a36354e050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C:\Users\SEC\Documents\Tencent Files\2697806528\FileRecv\MobileFile\Cache_-2c1a36354e0506db..jpg"/>
                    <pic:cNvPicPr>
                      <a:picLocks noChangeAspect="1" noChangeArrowheads="1"/>
                    </pic:cNvPicPr>
                  </pic:nvPicPr>
                  <pic:blipFill>
                    <a:blip r:embed="rId35" cstate="print"/>
                    <a:srcRect/>
                    <a:stretch>
                      <a:fillRect/>
                    </a:stretch>
                  </pic:blipFill>
                  <pic:spPr>
                    <a:xfrm>
                      <a:off x="0" y="0"/>
                      <a:ext cx="2103948" cy="1415332"/>
                    </a:xfrm>
                    <a:prstGeom prst="rect">
                      <a:avLst/>
                    </a:prstGeom>
                    <a:noFill/>
                    <a:ln w="9525">
                      <a:noFill/>
                      <a:miter lim="800000"/>
                      <a:headEnd/>
                      <a:tailEnd/>
                    </a:ln>
                  </pic:spPr>
                </pic:pic>
              </a:graphicData>
            </a:graphic>
          </wp:anchor>
        </w:drawing>
      </w:r>
    </w:p>
    <w:p>
      <w:pPr>
        <w:pStyle w:val="2"/>
        <w:spacing w:line="360" w:lineRule="auto"/>
        <w:rPr>
          <w:rFonts w:hint="eastAsia"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r>
        <w:rPr>
          <w:rFonts w:hint="eastAsia" w:ascii="Times New Roman" w:hAnsi="Times New Roman" w:cs="Times New Roman"/>
          <w:sz w:val="28"/>
          <w:szCs w:val="28"/>
        </w:rPr>
        <w:drawing>
          <wp:anchor distT="0" distB="0" distL="114300" distR="114300" simplePos="0" relativeHeight="251691008" behindDoc="1" locked="0" layoutInCell="1" allowOverlap="1">
            <wp:simplePos x="0" y="0"/>
            <wp:positionH relativeFrom="column">
              <wp:posOffset>4021455</wp:posOffset>
            </wp:positionH>
            <wp:positionV relativeFrom="paragraph">
              <wp:posOffset>250190</wp:posOffset>
            </wp:positionV>
            <wp:extent cx="1889125" cy="1415415"/>
            <wp:effectExtent l="19050" t="0" r="0" b="0"/>
            <wp:wrapNone/>
            <wp:docPr id="34" name="图片 23" descr="C:\Users\SEC\Documents\Tencent Files\2697806528\FileRecv\MobileFile\Cache_-2db6ce3f75dad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C:\Users\SEC\Documents\Tencent Files\2697806528\FileRecv\MobileFile\Cache_-2db6ce3f75dad885..jpg"/>
                    <pic:cNvPicPr>
                      <a:picLocks noChangeAspect="1" noChangeArrowheads="1"/>
                    </pic:cNvPicPr>
                  </pic:nvPicPr>
                  <pic:blipFill>
                    <a:blip r:embed="rId36" cstate="print"/>
                    <a:srcRect/>
                    <a:stretch>
                      <a:fillRect/>
                    </a:stretch>
                  </pic:blipFill>
                  <pic:spPr>
                    <a:xfrm>
                      <a:off x="0" y="0"/>
                      <a:ext cx="1889264" cy="1415332"/>
                    </a:xfrm>
                    <a:prstGeom prst="rect">
                      <a:avLst/>
                    </a:prstGeom>
                    <a:noFill/>
                    <a:ln w="9525">
                      <a:noFill/>
                      <a:miter lim="800000"/>
                      <a:headEnd/>
                      <a:tailEnd/>
                    </a:ln>
                  </pic:spPr>
                </pic:pic>
              </a:graphicData>
            </a:graphic>
          </wp:anchor>
        </w:drawing>
      </w:r>
      <w:r>
        <w:rPr>
          <w:rFonts w:hint="eastAsia" w:ascii="Times New Roman" w:hAnsi="Times New Roman" w:cs="Times New Roman"/>
          <w:sz w:val="28"/>
          <w:szCs w:val="28"/>
        </w:rPr>
        <w:drawing>
          <wp:anchor distT="0" distB="0" distL="114300" distR="114300" simplePos="0" relativeHeight="251689984" behindDoc="1" locked="0" layoutInCell="1" allowOverlap="1">
            <wp:simplePos x="0" y="0"/>
            <wp:positionH relativeFrom="column">
              <wp:posOffset>2121535</wp:posOffset>
            </wp:positionH>
            <wp:positionV relativeFrom="paragraph">
              <wp:posOffset>250190</wp:posOffset>
            </wp:positionV>
            <wp:extent cx="1889125" cy="1415415"/>
            <wp:effectExtent l="19050" t="0" r="0" b="0"/>
            <wp:wrapNone/>
            <wp:docPr id="33" name="图片 22" descr="C:\Users\SEC\Documents\Tencent Files\2697806528\FileRecv\MobileFile\Cache_-61bb4f9cd002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C:\Users\SEC\Documents\Tencent Files\2697806528\FileRecv\MobileFile\Cache_-61bb4f9cd0020294..jpg"/>
                    <pic:cNvPicPr>
                      <a:picLocks noChangeAspect="1" noChangeArrowheads="1"/>
                    </pic:cNvPicPr>
                  </pic:nvPicPr>
                  <pic:blipFill>
                    <a:blip r:embed="rId37" cstate="print"/>
                    <a:srcRect/>
                    <a:stretch>
                      <a:fillRect/>
                    </a:stretch>
                  </pic:blipFill>
                  <pic:spPr>
                    <a:xfrm>
                      <a:off x="0" y="0"/>
                      <a:ext cx="1889263" cy="1415332"/>
                    </a:xfrm>
                    <a:prstGeom prst="rect">
                      <a:avLst/>
                    </a:prstGeom>
                    <a:noFill/>
                    <a:ln w="9525">
                      <a:noFill/>
                      <a:miter lim="800000"/>
                      <a:headEnd/>
                      <a:tailEnd/>
                    </a:ln>
                  </pic:spPr>
                </pic:pic>
              </a:graphicData>
            </a:graphic>
          </wp:anchor>
        </w:drawing>
      </w:r>
      <w:r>
        <w:rPr>
          <w:rFonts w:hint="eastAsia" w:ascii="Times New Roman" w:hAnsi="Times New Roman" w:cs="Times New Roman"/>
          <w:sz w:val="28"/>
          <w:szCs w:val="28"/>
        </w:rPr>
        <w:drawing>
          <wp:anchor distT="0" distB="0" distL="114300" distR="114300" simplePos="0" relativeHeight="251688960" behindDoc="1" locked="0" layoutInCell="1" allowOverlap="1">
            <wp:simplePos x="0" y="0"/>
            <wp:positionH relativeFrom="column">
              <wp:posOffset>22225</wp:posOffset>
            </wp:positionH>
            <wp:positionV relativeFrom="paragraph">
              <wp:posOffset>257810</wp:posOffset>
            </wp:positionV>
            <wp:extent cx="2096135" cy="1415415"/>
            <wp:effectExtent l="19050" t="0" r="0" b="0"/>
            <wp:wrapNone/>
            <wp:docPr id="32" name="图片 21" descr="C:\Users\SEC\Documents\Tencent Files\2697806528\FileRecv\MobileFile\Cache_-722c9a2f9b13a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C:\Users\SEC\Documents\Tencent Files\2697806528\FileRecv\MobileFile\Cache_-722c9a2f9b13aa7f..jpg"/>
                    <pic:cNvPicPr>
                      <a:picLocks noChangeAspect="1" noChangeArrowheads="1"/>
                    </pic:cNvPicPr>
                  </pic:nvPicPr>
                  <pic:blipFill>
                    <a:blip r:embed="rId38" cstate="print"/>
                    <a:srcRect/>
                    <a:stretch>
                      <a:fillRect/>
                    </a:stretch>
                  </pic:blipFill>
                  <pic:spPr>
                    <a:xfrm>
                      <a:off x="0" y="0"/>
                      <a:ext cx="2095997" cy="1415332"/>
                    </a:xfrm>
                    <a:prstGeom prst="rect">
                      <a:avLst/>
                    </a:prstGeom>
                    <a:noFill/>
                    <a:ln w="9525">
                      <a:noFill/>
                      <a:miter lim="800000"/>
                      <a:headEnd/>
                      <a:tailEnd/>
                    </a:ln>
                  </pic:spPr>
                </pic:pic>
              </a:graphicData>
            </a:graphic>
          </wp:anchor>
        </w:drawing>
      </w:r>
    </w:p>
    <w:p>
      <w:pPr>
        <w:pStyle w:val="2"/>
        <w:spacing w:line="360" w:lineRule="auto"/>
        <w:rPr>
          <w:rFonts w:hint="eastAsia"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p>
    <w:p>
      <w:pPr>
        <w:pStyle w:val="2"/>
        <w:spacing w:line="360" w:lineRule="auto"/>
        <w:rPr>
          <w:rFonts w:hint="eastAsia" w:ascii="Times New Roman" w:hAnsi="Times New Roman" w:cs="Times New Roman"/>
          <w:sz w:val="28"/>
          <w:szCs w:val="28"/>
        </w:rPr>
      </w:pPr>
    </w:p>
    <w:p>
      <w:pPr>
        <w:pStyle w:val="2"/>
        <w:spacing w:line="360" w:lineRule="auto"/>
        <w:rPr>
          <w:rFonts w:ascii="Times New Roman" w:hAnsi="Times New Roman" w:cs="Times New Roman"/>
          <w:sz w:val="28"/>
          <w:szCs w:val="28"/>
        </w:rPr>
      </w:pPr>
    </w:p>
    <w:p>
      <w:pPr>
        <w:pStyle w:val="2"/>
        <w:spacing w:line="360" w:lineRule="auto"/>
        <w:rPr>
          <w:rFonts w:ascii="Times New Roman" w:hAnsi="Times New Roman" w:cs="Times New Roman"/>
        </w:rPr>
      </w:pPr>
      <w:r>
        <w:rPr>
          <w:rFonts w:ascii="Times New Roman" w:hAnsi="Times New Roman" w:cs="Times New Roman"/>
          <w:sz w:val="28"/>
          <w:szCs w:val="28"/>
        </w:rPr>
        <w:t xml:space="preserve">编    制：        </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审    核：           </w:t>
      </w:r>
      <w:r>
        <w:rPr>
          <w:rFonts w:hint="eastAsia" w:ascii="Times New Roman" w:hAnsi="Times New Roman" w:cs="Times New Roman"/>
          <w:sz w:val="28"/>
          <w:szCs w:val="28"/>
        </w:rPr>
        <w:t xml:space="preserve">      </w:t>
      </w:r>
      <w:r>
        <w:rPr>
          <w:rFonts w:ascii="Times New Roman" w:hAnsi="Times New Roman" w:cs="Times New Roman"/>
          <w:sz w:val="28"/>
          <w:szCs w:val="28"/>
        </w:rPr>
        <w:t>签    发：</w:t>
      </w:r>
    </w:p>
    <w:p>
      <w:pPr>
        <w:pStyle w:val="2"/>
        <w:spacing w:line="360" w:lineRule="auto"/>
        <w:ind w:firstLine="7000" w:firstLineChars="2500"/>
        <w:rPr>
          <w:rFonts w:ascii="Times New Roman" w:hAnsi="Times New Roman" w:cs="Times New Roman"/>
          <w:sz w:val="28"/>
          <w:szCs w:val="28"/>
        </w:rPr>
      </w:pPr>
      <w:r>
        <w:rPr>
          <w:rFonts w:ascii="Times New Roman" w:hAnsi="Times New Roman" w:cs="Times New Roman"/>
          <w:sz w:val="28"/>
          <w:szCs w:val="28"/>
        </w:rPr>
        <w:t>签发日期：</w:t>
      </w:r>
    </w:p>
    <w:p>
      <w:pPr>
        <w:pStyle w:val="2"/>
        <w:jc w:val="center"/>
        <w:rPr>
          <w:rFonts w:ascii="Times New Roman" w:hAnsi="Times New Roman" w:cs="Times New Roman"/>
          <w:sz w:val="21"/>
          <w:szCs w:val="21"/>
        </w:rPr>
      </w:pPr>
      <w:r>
        <w:rPr>
          <w:rFonts w:ascii="Times New Roman" w:hAnsi="Times New Roman" w:cs="Times New Roman"/>
          <w:sz w:val="28"/>
          <w:szCs w:val="28"/>
        </w:rPr>
        <w:t>***报告结束***</w:t>
      </w:r>
    </w:p>
    <w:sectPr>
      <w:pgSz w:w="11906" w:h="16838"/>
      <w:pgMar w:top="1440" w:right="1134" w:bottom="1440" w:left="1134" w:header="709" w:footer="709"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rPr>
        <w:rFonts w:ascii="Times New Roman" w:hAnsi="Times New Roman"/>
      </w:rPr>
    </w:pPr>
    <w:r>
      <w:rPr>
        <w:rFonts w:ascii="Times New Roman" w:hAnsi="Times New Roman"/>
      </w:rPr>
      <w:t>鑫利源字</w:t>
    </w:r>
    <w:r>
      <w:rPr>
        <w:rFonts w:hint="eastAsia" w:ascii="Times New Roman" w:hAnsi="Times New Roman"/>
      </w:rPr>
      <w:t>【2019】</w:t>
    </w:r>
    <w:r>
      <w:rPr>
        <w:rFonts w:ascii="Times New Roman" w:hAnsi="Times New Roman"/>
      </w:rPr>
      <w:t>第</w:t>
    </w:r>
    <w:r>
      <w:rPr>
        <w:rFonts w:hint="eastAsia" w:ascii="Times New Roman" w:hAnsi="Times New Roman"/>
      </w:rPr>
      <w:t>19092402</w:t>
    </w:r>
    <w:r>
      <w:rPr>
        <w:rFonts w:ascii="Times New Roman" w:hAnsi="Times New Roman"/>
      </w:rPr>
      <w:t>号</w:t>
    </w:r>
    <w:r>
      <w:rPr>
        <w:rFonts w:ascii="Times New Roman" w:hAnsi="Times New Roman"/>
      </w:rPr>
      <w:pict>
        <v:shape id="_x0000_s2049" o:spid="_x0000_s2049"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10"/>
                  <w:rPr>
                    <w:rFonts w:ascii="Times New Roman" w:hAnsi="Times New Roman"/>
                  </w:rPr>
                </w:pPr>
                <w:r>
                  <w:rPr>
                    <w:rFonts w:ascii="Times New Roman" w:hAnsi="Times New Roman"/>
                  </w:rPr>
                  <w:t xml:space="preserve">第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页 共 </w:t>
                </w:r>
                <w:r>
                  <w:fldChar w:fldCharType="begin"/>
                </w:r>
                <w:r>
                  <w:instrText xml:space="preserve"> NUMPAGES  \* MERGEFORMAT </w:instrText>
                </w:r>
                <w:r>
                  <w:fldChar w:fldCharType="separate"/>
                </w:r>
                <w:r>
                  <w:rPr>
                    <w:rFonts w:ascii="Times New Roman" w:hAnsi="Times New Roman"/>
                  </w:rPr>
                  <w:t>28</w:t>
                </w:r>
                <w:r>
                  <w:rPr>
                    <w:rFonts w:ascii="Times New Roman" w:hAnsi="Times New Roman"/>
                  </w:rPr>
                  <w:fldChar w:fldCharType="end"/>
                </w:r>
                <w:r>
                  <w:rPr>
                    <w:rFonts w:ascii="Times New Roman" w:hAnsi="Times New Roman"/>
                  </w:rPr>
                  <w:t xml:space="preserve"> 页</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28850D"/>
    <w:multiLevelType w:val="singleLevel"/>
    <w:tmpl w:val="B228850D"/>
    <w:lvl w:ilvl="0" w:tentative="0">
      <w:start w:val="4"/>
      <w:numFmt w:val="chineseCounting"/>
      <w:suff w:val="nothing"/>
      <w:lvlText w:val="%1、"/>
      <w:lvlJc w:val="left"/>
      <w:rPr>
        <w:rFonts w:hint="eastAsia"/>
      </w:rPr>
    </w:lvl>
  </w:abstractNum>
  <w:abstractNum w:abstractNumId="1">
    <w:nsid w:val="BA575364"/>
    <w:multiLevelType w:val="singleLevel"/>
    <w:tmpl w:val="BA575364"/>
    <w:lvl w:ilvl="0" w:tentative="0">
      <w:start w:val="1"/>
      <w:numFmt w:val="chineseCounting"/>
      <w:suff w:val="nothing"/>
      <w:lvlText w:val="%1、"/>
      <w:lvlJc w:val="left"/>
      <w:rPr>
        <w:rFonts w:hint="eastAsia"/>
      </w:rPr>
    </w:lvl>
  </w:abstractNum>
  <w:abstractNum w:abstractNumId="2">
    <w:nsid w:val="08CEADB8"/>
    <w:multiLevelType w:val="singleLevel"/>
    <w:tmpl w:val="08CEADB8"/>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ocumentProtection w:enforcement="0"/>
  <w:defaultTabStop w:val="420"/>
  <w:drawingGridHorizontalSpacing w:val="22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374E"/>
    <w:rsid w:val="00014966"/>
    <w:rsid w:val="0002605D"/>
    <w:rsid w:val="00034EBB"/>
    <w:rsid w:val="00086677"/>
    <w:rsid w:val="00172A27"/>
    <w:rsid w:val="002B61FA"/>
    <w:rsid w:val="004A3E6B"/>
    <w:rsid w:val="004E013F"/>
    <w:rsid w:val="0055026B"/>
    <w:rsid w:val="00555C16"/>
    <w:rsid w:val="006B06DF"/>
    <w:rsid w:val="006F5F9F"/>
    <w:rsid w:val="007728E9"/>
    <w:rsid w:val="007B1767"/>
    <w:rsid w:val="007C26CB"/>
    <w:rsid w:val="00842CF3"/>
    <w:rsid w:val="00A43437"/>
    <w:rsid w:val="00AA5E92"/>
    <w:rsid w:val="00AC7E98"/>
    <w:rsid w:val="00AE19BC"/>
    <w:rsid w:val="00B74482"/>
    <w:rsid w:val="00C350D2"/>
    <w:rsid w:val="00C915C4"/>
    <w:rsid w:val="00D13358"/>
    <w:rsid w:val="00D53082"/>
    <w:rsid w:val="00D60042"/>
    <w:rsid w:val="00D7644F"/>
    <w:rsid w:val="00DA7CD5"/>
    <w:rsid w:val="00E63DCC"/>
    <w:rsid w:val="00EF4CFA"/>
    <w:rsid w:val="00F0484E"/>
    <w:rsid w:val="00F15C36"/>
    <w:rsid w:val="010057E9"/>
    <w:rsid w:val="010929E8"/>
    <w:rsid w:val="01093A9A"/>
    <w:rsid w:val="0118798F"/>
    <w:rsid w:val="012E5323"/>
    <w:rsid w:val="01302E53"/>
    <w:rsid w:val="01445109"/>
    <w:rsid w:val="014E61EE"/>
    <w:rsid w:val="0150343B"/>
    <w:rsid w:val="015B694E"/>
    <w:rsid w:val="01613F2C"/>
    <w:rsid w:val="01642C0D"/>
    <w:rsid w:val="016E34B8"/>
    <w:rsid w:val="016F23C0"/>
    <w:rsid w:val="01702397"/>
    <w:rsid w:val="01724E02"/>
    <w:rsid w:val="01730A4F"/>
    <w:rsid w:val="0180057D"/>
    <w:rsid w:val="0188728E"/>
    <w:rsid w:val="01916E98"/>
    <w:rsid w:val="019205DE"/>
    <w:rsid w:val="019378C9"/>
    <w:rsid w:val="019710B4"/>
    <w:rsid w:val="019B23B2"/>
    <w:rsid w:val="01A23C31"/>
    <w:rsid w:val="01B355FF"/>
    <w:rsid w:val="01B6479E"/>
    <w:rsid w:val="01C87B78"/>
    <w:rsid w:val="01CC183E"/>
    <w:rsid w:val="01E135BE"/>
    <w:rsid w:val="01F6194E"/>
    <w:rsid w:val="01FB5841"/>
    <w:rsid w:val="01FC1AE2"/>
    <w:rsid w:val="01FD1C9C"/>
    <w:rsid w:val="0207784E"/>
    <w:rsid w:val="02081A91"/>
    <w:rsid w:val="020D57B6"/>
    <w:rsid w:val="020F2BE4"/>
    <w:rsid w:val="021600DE"/>
    <w:rsid w:val="02194A14"/>
    <w:rsid w:val="021A42A7"/>
    <w:rsid w:val="02264DD7"/>
    <w:rsid w:val="02324CAB"/>
    <w:rsid w:val="02390ABD"/>
    <w:rsid w:val="024B038D"/>
    <w:rsid w:val="02564DF0"/>
    <w:rsid w:val="025E6D25"/>
    <w:rsid w:val="025F39C6"/>
    <w:rsid w:val="02703851"/>
    <w:rsid w:val="02720882"/>
    <w:rsid w:val="02724D95"/>
    <w:rsid w:val="02730567"/>
    <w:rsid w:val="02762D74"/>
    <w:rsid w:val="027A1DEE"/>
    <w:rsid w:val="0288199A"/>
    <w:rsid w:val="029C14E3"/>
    <w:rsid w:val="02A17EF2"/>
    <w:rsid w:val="02A36885"/>
    <w:rsid w:val="02A87923"/>
    <w:rsid w:val="02AA4BC8"/>
    <w:rsid w:val="02B110F9"/>
    <w:rsid w:val="02B83161"/>
    <w:rsid w:val="02BA3626"/>
    <w:rsid w:val="02BA3FBE"/>
    <w:rsid w:val="02D557E7"/>
    <w:rsid w:val="02DF1F01"/>
    <w:rsid w:val="02E81CAB"/>
    <w:rsid w:val="02F21118"/>
    <w:rsid w:val="02FE3343"/>
    <w:rsid w:val="030038E0"/>
    <w:rsid w:val="03087C76"/>
    <w:rsid w:val="030D11CB"/>
    <w:rsid w:val="031123C5"/>
    <w:rsid w:val="0317156D"/>
    <w:rsid w:val="03213B89"/>
    <w:rsid w:val="032C377A"/>
    <w:rsid w:val="034A0FDA"/>
    <w:rsid w:val="034B52F8"/>
    <w:rsid w:val="034D243B"/>
    <w:rsid w:val="034D5A60"/>
    <w:rsid w:val="035A1175"/>
    <w:rsid w:val="036413DE"/>
    <w:rsid w:val="036458F9"/>
    <w:rsid w:val="03655DC4"/>
    <w:rsid w:val="036A5B45"/>
    <w:rsid w:val="036C2E01"/>
    <w:rsid w:val="037011EC"/>
    <w:rsid w:val="037548DD"/>
    <w:rsid w:val="03846CC1"/>
    <w:rsid w:val="038974FB"/>
    <w:rsid w:val="038B339C"/>
    <w:rsid w:val="03931B72"/>
    <w:rsid w:val="03950C91"/>
    <w:rsid w:val="03974665"/>
    <w:rsid w:val="039D1F9A"/>
    <w:rsid w:val="039D5383"/>
    <w:rsid w:val="03A35D87"/>
    <w:rsid w:val="03A54F5E"/>
    <w:rsid w:val="03A87AF3"/>
    <w:rsid w:val="03AB33E4"/>
    <w:rsid w:val="03B23C70"/>
    <w:rsid w:val="03BA3669"/>
    <w:rsid w:val="03BB5C97"/>
    <w:rsid w:val="03BF1D11"/>
    <w:rsid w:val="03DB45A0"/>
    <w:rsid w:val="03E44061"/>
    <w:rsid w:val="03E55FF5"/>
    <w:rsid w:val="03E85D2B"/>
    <w:rsid w:val="03F74692"/>
    <w:rsid w:val="03F91A53"/>
    <w:rsid w:val="03FB2176"/>
    <w:rsid w:val="04004D14"/>
    <w:rsid w:val="040157C4"/>
    <w:rsid w:val="040553DC"/>
    <w:rsid w:val="041C22CE"/>
    <w:rsid w:val="041D3777"/>
    <w:rsid w:val="042754C7"/>
    <w:rsid w:val="042E4408"/>
    <w:rsid w:val="042E585F"/>
    <w:rsid w:val="0431444A"/>
    <w:rsid w:val="04331F88"/>
    <w:rsid w:val="0437149E"/>
    <w:rsid w:val="044212D1"/>
    <w:rsid w:val="04446317"/>
    <w:rsid w:val="04462053"/>
    <w:rsid w:val="04466B00"/>
    <w:rsid w:val="0465114D"/>
    <w:rsid w:val="04797FD9"/>
    <w:rsid w:val="047D31E6"/>
    <w:rsid w:val="048351E8"/>
    <w:rsid w:val="04995592"/>
    <w:rsid w:val="04A714D9"/>
    <w:rsid w:val="04B55BA9"/>
    <w:rsid w:val="04B93C3B"/>
    <w:rsid w:val="04BB5629"/>
    <w:rsid w:val="04C66A7F"/>
    <w:rsid w:val="04C923E3"/>
    <w:rsid w:val="04CA2AD6"/>
    <w:rsid w:val="04CE04E9"/>
    <w:rsid w:val="04CE1B18"/>
    <w:rsid w:val="04D3088B"/>
    <w:rsid w:val="04D41C23"/>
    <w:rsid w:val="04D617E1"/>
    <w:rsid w:val="04D75989"/>
    <w:rsid w:val="04DB578C"/>
    <w:rsid w:val="04DE27A2"/>
    <w:rsid w:val="04E273E9"/>
    <w:rsid w:val="04E46C74"/>
    <w:rsid w:val="04EE189E"/>
    <w:rsid w:val="04EF06DE"/>
    <w:rsid w:val="04F3443B"/>
    <w:rsid w:val="04FB63A3"/>
    <w:rsid w:val="0502551E"/>
    <w:rsid w:val="050B07EB"/>
    <w:rsid w:val="050B246D"/>
    <w:rsid w:val="051B6007"/>
    <w:rsid w:val="05223367"/>
    <w:rsid w:val="05244155"/>
    <w:rsid w:val="05254E34"/>
    <w:rsid w:val="0528142C"/>
    <w:rsid w:val="05376B9B"/>
    <w:rsid w:val="055E5C56"/>
    <w:rsid w:val="0569600B"/>
    <w:rsid w:val="05697E34"/>
    <w:rsid w:val="05737425"/>
    <w:rsid w:val="0576564B"/>
    <w:rsid w:val="05770041"/>
    <w:rsid w:val="058528C2"/>
    <w:rsid w:val="058A6262"/>
    <w:rsid w:val="058F2E6A"/>
    <w:rsid w:val="05901F17"/>
    <w:rsid w:val="05913544"/>
    <w:rsid w:val="0598781D"/>
    <w:rsid w:val="059906E2"/>
    <w:rsid w:val="059D1C9F"/>
    <w:rsid w:val="05A302AE"/>
    <w:rsid w:val="05A41BC5"/>
    <w:rsid w:val="05A62D43"/>
    <w:rsid w:val="05A742F6"/>
    <w:rsid w:val="05AC1D1A"/>
    <w:rsid w:val="05B20816"/>
    <w:rsid w:val="05B563C7"/>
    <w:rsid w:val="05B86EF2"/>
    <w:rsid w:val="05BD6FC6"/>
    <w:rsid w:val="05C34EA4"/>
    <w:rsid w:val="05DA1F8D"/>
    <w:rsid w:val="05E338F3"/>
    <w:rsid w:val="05FC0239"/>
    <w:rsid w:val="05FC5CB4"/>
    <w:rsid w:val="060111E2"/>
    <w:rsid w:val="060323FA"/>
    <w:rsid w:val="060C0256"/>
    <w:rsid w:val="06206ADD"/>
    <w:rsid w:val="06242DFF"/>
    <w:rsid w:val="0626300A"/>
    <w:rsid w:val="06357F6F"/>
    <w:rsid w:val="063923C6"/>
    <w:rsid w:val="063F13F9"/>
    <w:rsid w:val="063F5039"/>
    <w:rsid w:val="06561AE0"/>
    <w:rsid w:val="06592BA3"/>
    <w:rsid w:val="065E30E4"/>
    <w:rsid w:val="06622EC1"/>
    <w:rsid w:val="066F3861"/>
    <w:rsid w:val="066F593A"/>
    <w:rsid w:val="06701349"/>
    <w:rsid w:val="067D721D"/>
    <w:rsid w:val="06852B2B"/>
    <w:rsid w:val="068E7B77"/>
    <w:rsid w:val="0694469E"/>
    <w:rsid w:val="06965A17"/>
    <w:rsid w:val="069B4A70"/>
    <w:rsid w:val="06A57173"/>
    <w:rsid w:val="06A65BFC"/>
    <w:rsid w:val="06A723CD"/>
    <w:rsid w:val="06AD769A"/>
    <w:rsid w:val="06B81D97"/>
    <w:rsid w:val="06BE3B6A"/>
    <w:rsid w:val="06D348CE"/>
    <w:rsid w:val="06D52274"/>
    <w:rsid w:val="06D948BC"/>
    <w:rsid w:val="06E008B1"/>
    <w:rsid w:val="06E70CC1"/>
    <w:rsid w:val="06F0409C"/>
    <w:rsid w:val="06FC526B"/>
    <w:rsid w:val="06FE57B8"/>
    <w:rsid w:val="07221608"/>
    <w:rsid w:val="07274A41"/>
    <w:rsid w:val="072A6CF5"/>
    <w:rsid w:val="07337AA2"/>
    <w:rsid w:val="073744AA"/>
    <w:rsid w:val="073773F0"/>
    <w:rsid w:val="073943A4"/>
    <w:rsid w:val="073A6EF7"/>
    <w:rsid w:val="073B13C4"/>
    <w:rsid w:val="074846C1"/>
    <w:rsid w:val="07485612"/>
    <w:rsid w:val="074A2949"/>
    <w:rsid w:val="07551CD9"/>
    <w:rsid w:val="075F1A3C"/>
    <w:rsid w:val="076553C4"/>
    <w:rsid w:val="07672585"/>
    <w:rsid w:val="07696F79"/>
    <w:rsid w:val="0772361A"/>
    <w:rsid w:val="077375D4"/>
    <w:rsid w:val="07855059"/>
    <w:rsid w:val="07890B10"/>
    <w:rsid w:val="079439B3"/>
    <w:rsid w:val="07977364"/>
    <w:rsid w:val="07991208"/>
    <w:rsid w:val="07A20A0A"/>
    <w:rsid w:val="07A4306E"/>
    <w:rsid w:val="07A86106"/>
    <w:rsid w:val="07AA71C8"/>
    <w:rsid w:val="07AB7D84"/>
    <w:rsid w:val="07B47817"/>
    <w:rsid w:val="07B93A1E"/>
    <w:rsid w:val="07BE4C92"/>
    <w:rsid w:val="07BF3FF4"/>
    <w:rsid w:val="07C013F9"/>
    <w:rsid w:val="07CB5F0C"/>
    <w:rsid w:val="07D328F6"/>
    <w:rsid w:val="07D95A08"/>
    <w:rsid w:val="07DD7EDA"/>
    <w:rsid w:val="07E41961"/>
    <w:rsid w:val="07E7095A"/>
    <w:rsid w:val="07EC2D94"/>
    <w:rsid w:val="07FA0FBF"/>
    <w:rsid w:val="08017E36"/>
    <w:rsid w:val="080666AF"/>
    <w:rsid w:val="08081F4E"/>
    <w:rsid w:val="081040B0"/>
    <w:rsid w:val="08136F25"/>
    <w:rsid w:val="082333BB"/>
    <w:rsid w:val="08304DA1"/>
    <w:rsid w:val="083C4FEC"/>
    <w:rsid w:val="084608E0"/>
    <w:rsid w:val="084619D2"/>
    <w:rsid w:val="084C5274"/>
    <w:rsid w:val="084D6517"/>
    <w:rsid w:val="08616ABA"/>
    <w:rsid w:val="0865674A"/>
    <w:rsid w:val="08674D0B"/>
    <w:rsid w:val="08681735"/>
    <w:rsid w:val="086A2842"/>
    <w:rsid w:val="086B6539"/>
    <w:rsid w:val="086D10E2"/>
    <w:rsid w:val="08730177"/>
    <w:rsid w:val="08761CC6"/>
    <w:rsid w:val="087E13CA"/>
    <w:rsid w:val="08802A46"/>
    <w:rsid w:val="088162B3"/>
    <w:rsid w:val="088F2FF6"/>
    <w:rsid w:val="08926B3F"/>
    <w:rsid w:val="08A70847"/>
    <w:rsid w:val="08A96AA9"/>
    <w:rsid w:val="08AB4469"/>
    <w:rsid w:val="08C16063"/>
    <w:rsid w:val="08CA5E10"/>
    <w:rsid w:val="08CF4779"/>
    <w:rsid w:val="08D70271"/>
    <w:rsid w:val="08DB1B94"/>
    <w:rsid w:val="08DE3784"/>
    <w:rsid w:val="08DE4FE1"/>
    <w:rsid w:val="08E15E37"/>
    <w:rsid w:val="08F37AEF"/>
    <w:rsid w:val="08F47223"/>
    <w:rsid w:val="08FE04A6"/>
    <w:rsid w:val="09005BED"/>
    <w:rsid w:val="09020E28"/>
    <w:rsid w:val="090A4F7C"/>
    <w:rsid w:val="091110AC"/>
    <w:rsid w:val="09127E2D"/>
    <w:rsid w:val="091B1743"/>
    <w:rsid w:val="091E5049"/>
    <w:rsid w:val="092208FD"/>
    <w:rsid w:val="0922266A"/>
    <w:rsid w:val="0924791A"/>
    <w:rsid w:val="092D308B"/>
    <w:rsid w:val="09342645"/>
    <w:rsid w:val="094B39B3"/>
    <w:rsid w:val="095A1A2E"/>
    <w:rsid w:val="0971350F"/>
    <w:rsid w:val="097E1B4F"/>
    <w:rsid w:val="0985479A"/>
    <w:rsid w:val="098A4DF3"/>
    <w:rsid w:val="098D60F7"/>
    <w:rsid w:val="099031AA"/>
    <w:rsid w:val="09940163"/>
    <w:rsid w:val="09953A33"/>
    <w:rsid w:val="099D2449"/>
    <w:rsid w:val="09A15FBA"/>
    <w:rsid w:val="09BA7673"/>
    <w:rsid w:val="09C07C23"/>
    <w:rsid w:val="09C13744"/>
    <w:rsid w:val="09C77A67"/>
    <w:rsid w:val="09D66466"/>
    <w:rsid w:val="09EF10FC"/>
    <w:rsid w:val="09F85821"/>
    <w:rsid w:val="09F91776"/>
    <w:rsid w:val="09FC191F"/>
    <w:rsid w:val="0A0117ED"/>
    <w:rsid w:val="0A0A0529"/>
    <w:rsid w:val="0A0D75AA"/>
    <w:rsid w:val="0A0F1325"/>
    <w:rsid w:val="0A134716"/>
    <w:rsid w:val="0A1864D2"/>
    <w:rsid w:val="0A1C0C7D"/>
    <w:rsid w:val="0A233DED"/>
    <w:rsid w:val="0A260059"/>
    <w:rsid w:val="0A2B0E71"/>
    <w:rsid w:val="0A3F70B1"/>
    <w:rsid w:val="0A44373D"/>
    <w:rsid w:val="0A4C12C0"/>
    <w:rsid w:val="0A4F3243"/>
    <w:rsid w:val="0A512ABE"/>
    <w:rsid w:val="0A562B55"/>
    <w:rsid w:val="0A5917B0"/>
    <w:rsid w:val="0A5A73FC"/>
    <w:rsid w:val="0A5F5C24"/>
    <w:rsid w:val="0A6764E9"/>
    <w:rsid w:val="0A6D57A9"/>
    <w:rsid w:val="0A6F2BEC"/>
    <w:rsid w:val="0A7357A8"/>
    <w:rsid w:val="0A7E74DE"/>
    <w:rsid w:val="0A815D25"/>
    <w:rsid w:val="0A82404E"/>
    <w:rsid w:val="0A85159A"/>
    <w:rsid w:val="0A885949"/>
    <w:rsid w:val="0A8B75E9"/>
    <w:rsid w:val="0A8C2D22"/>
    <w:rsid w:val="0A932D04"/>
    <w:rsid w:val="0A973F27"/>
    <w:rsid w:val="0A975AF0"/>
    <w:rsid w:val="0A986454"/>
    <w:rsid w:val="0A9876C6"/>
    <w:rsid w:val="0A987955"/>
    <w:rsid w:val="0AAA7A32"/>
    <w:rsid w:val="0AB46B1D"/>
    <w:rsid w:val="0ABA5038"/>
    <w:rsid w:val="0ABB79B5"/>
    <w:rsid w:val="0ACC105E"/>
    <w:rsid w:val="0AD5535A"/>
    <w:rsid w:val="0AD917EC"/>
    <w:rsid w:val="0AEB65F1"/>
    <w:rsid w:val="0AF469A1"/>
    <w:rsid w:val="0AF75345"/>
    <w:rsid w:val="0AFF68FF"/>
    <w:rsid w:val="0B002C21"/>
    <w:rsid w:val="0B010755"/>
    <w:rsid w:val="0B0517BA"/>
    <w:rsid w:val="0B0E6009"/>
    <w:rsid w:val="0B100600"/>
    <w:rsid w:val="0B101EAF"/>
    <w:rsid w:val="0B192BAB"/>
    <w:rsid w:val="0B1C6B2B"/>
    <w:rsid w:val="0B2311D4"/>
    <w:rsid w:val="0B233B8E"/>
    <w:rsid w:val="0B2A4A6A"/>
    <w:rsid w:val="0B2D4E8A"/>
    <w:rsid w:val="0B30139D"/>
    <w:rsid w:val="0B325752"/>
    <w:rsid w:val="0B415E8D"/>
    <w:rsid w:val="0B4F1932"/>
    <w:rsid w:val="0B517972"/>
    <w:rsid w:val="0B535213"/>
    <w:rsid w:val="0B5D2431"/>
    <w:rsid w:val="0B5E1C3F"/>
    <w:rsid w:val="0B5F0F39"/>
    <w:rsid w:val="0B63067A"/>
    <w:rsid w:val="0B6A0682"/>
    <w:rsid w:val="0B6C6CDD"/>
    <w:rsid w:val="0B7A4411"/>
    <w:rsid w:val="0B857852"/>
    <w:rsid w:val="0B8D63B8"/>
    <w:rsid w:val="0B8F4B5D"/>
    <w:rsid w:val="0B8F6D65"/>
    <w:rsid w:val="0B92331E"/>
    <w:rsid w:val="0B947A23"/>
    <w:rsid w:val="0B980CC2"/>
    <w:rsid w:val="0BAD3926"/>
    <w:rsid w:val="0BAE5F57"/>
    <w:rsid w:val="0BBA1C0E"/>
    <w:rsid w:val="0BBC3613"/>
    <w:rsid w:val="0BC211D5"/>
    <w:rsid w:val="0BCA149D"/>
    <w:rsid w:val="0BCA76B3"/>
    <w:rsid w:val="0BEA76DF"/>
    <w:rsid w:val="0BF2719E"/>
    <w:rsid w:val="0C093E88"/>
    <w:rsid w:val="0C094503"/>
    <w:rsid w:val="0C0A3E1B"/>
    <w:rsid w:val="0C0E7C55"/>
    <w:rsid w:val="0C1E3946"/>
    <w:rsid w:val="0C2778B2"/>
    <w:rsid w:val="0C28236F"/>
    <w:rsid w:val="0C311135"/>
    <w:rsid w:val="0C385F4A"/>
    <w:rsid w:val="0C3E39E8"/>
    <w:rsid w:val="0C4467A5"/>
    <w:rsid w:val="0C470E8C"/>
    <w:rsid w:val="0C471A45"/>
    <w:rsid w:val="0C4A6194"/>
    <w:rsid w:val="0C5C39D9"/>
    <w:rsid w:val="0C600601"/>
    <w:rsid w:val="0C6151B0"/>
    <w:rsid w:val="0C675A27"/>
    <w:rsid w:val="0C727D10"/>
    <w:rsid w:val="0C731E7F"/>
    <w:rsid w:val="0C790C23"/>
    <w:rsid w:val="0C79528C"/>
    <w:rsid w:val="0C7F29E2"/>
    <w:rsid w:val="0C8410E9"/>
    <w:rsid w:val="0C8F36C2"/>
    <w:rsid w:val="0C932A9F"/>
    <w:rsid w:val="0C9453FA"/>
    <w:rsid w:val="0C9458CA"/>
    <w:rsid w:val="0C98450F"/>
    <w:rsid w:val="0C9C4F40"/>
    <w:rsid w:val="0CA37145"/>
    <w:rsid w:val="0CAC2F6B"/>
    <w:rsid w:val="0CAD3E9D"/>
    <w:rsid w:val="0CB426AB"/>
    <w:rsid w:val="0CBE3D8B"/>
    <w:rsid w:val="0CC80E0A"/>
    <w:rsid w:val="0CCC3567"/>
    <w:rsid w:val="0CCE20E0"/>
    <w:rsid w:val="0CD643E3"/>
    <w:rsid w:val="0CDF480D"/>
    <w:rsid w:val="0CE75688"/>
    <w:rsid w:val="0CED10C4"/>
    <w:rsid w:val="0CFB078F"/>
    <w:rsid w:val="0CFB7C3A"/>
    <w:rsid w:val="0D0E619B"/>
    <w:rsid w:val="0D1263A6"/>
    <w:rsid w:val="0D161A15"/>
    <w:rsid w:val="0D177B7A"/>
    <w:rsid w:val="0D190FE4"/>
    <w:rsid w:val="0D1A794E"/>
    <w:rsid w:val="0D1C7CED"/>
    <w:rsid w:val="0D1F7547"/>
    <w:rsid w:val="0D2022D1"/>
    <w:rsid w:val="0D203E82"/>
    <w:rsid w:val="0D2700A2"/>
    <w:rsid w:val="0D287514"/>
    <w:rsid w:val="0D2F4CEE"/>
    <w:rsid w:val="0D312B3E"/>
    <w:rsid w:val="0D3535A8"/>
    <w:rsid w:val="0D43047C"/>
    <w:rsid w:val="0D4E147F"/>
    <w:rsid w:val="0D551F75"/>
    <w:rsid w:val="0D585E7B"/>
    <w:rsid w:val="0D596E12"/>
    <w:rsid w:val="0D6146CC"/>
    <w:rsid w:val="0D6A71A6"/>
    <w:rsid w:val="0D732F3A"/>
    <w:rsid w:val="0DA2416E"/>
    <w:rsid w:val="0DAB7AFD"/>
    <w:rsid w:val="0DAF6050"/>
    <w:rsid w:val="0DBA2058"/>
    <w:rsid w:val="0DBB1041"/>
    <w:rsid w:val="0DBF01E0"/>
    <w:rsid w:val="0DD969A6"/>
    <w:rsid w:val="0DDA69A8"/>
    <w:rsid w:val="0DDD73ED"/>
    <w:rsid w:val="0DE03FC1"/>
    <w:rsid w:val="0DE75E0D"/>
    <w:rsid w:val="0DEC57F4"/>
    <w:rsid w:val="0DF65E6B"/>
    <w:rsid w:val="0DFA504F"/>
    <w:rsid w:val="0E141892"/>
    <w:rsid w:val="0E173D01"/>
    <w:rsid w:val="0E1B2F4D"/>
    <w:rsid w:val="0E3B3E9C"/>
    <w:rsid w:val="0E472098"/>
    <w:rsid w:val="0E5E3D06"/>
    <w:rsid w:val="0E6867ED"/>
    <w:rsid w:val="0E687197"/>
    <w:rsid w:val="0E691619"/>
    <w:rsid w:val="0E695808"/>
    <w:rsid w:val="0E695AF5"/>
    <w:rsid w:val="0E775A66"/>
    <w:rsid w:val="0E843252"/>
    <w:rsid w:val="0E8C26EF"/>
    <w:rsid w:val="0E8F6875"/>
    <w:rsid w:val="0E9775E9"/>
    <w:rsid w:val="0E9A5F54"/>
    <w:rsid w:val="0EA00012"/>
    <w:rsid w:val="0EA159D4"/>
    <w:rsid w:val="0EA461D7"/>
    <w:rsid w:val="0EBF3BDA"/>
    <w:rsid w:val="0EC13365"/>
    <w:rsid w:val="0ED7012F"/>
    <w:rsid w:val="0ED853E1"/>
    <w:rsid w:val="0EE36A3C"/>
    <w:rsid w:val="0EE528C0"/>
    <w:rsid w:val="0EE5572D"/>
    <w:rsid w:val="0EE73A37"/>
    <w:rsid w:val="0EED52A7"/>
    <w:rsid w:val="0EEF28D4"/>
    <w:rsid w:val="0EF12C6D"/>
    <w:rsid w:val="0EF26FCF"/>
    <w:rsid w:val="0EF65A0F"/>
    <w:rsid w:val="0F032771"/>
    <w:rsid w:val="0F056820"/>
    <w:rsid w:val="0F0A1C0F"/>
    <w:rsid w:val="0F0F362F"/>
    <w:rsid w:val="0F1056D4"/>
    <w:rsid w:val="0F1D64A5"/>
    <w:rsid w:val="0F1F65B2"/>
    <w:rsid w:val="0F2C7650"/>
    <w:rsid w:val="0F3B6644"/>
    <w:rsid w:val="0F486ED7"/>
    <w:rsid w:val="0F5568E2"/>
    <w:rsid w:val="0F695915"/>
    <w:rsid w:val="0F6D7EC6"/>
    <w:rsid w:val="0F8A0C3C"/>
    <w:rsid w:val="0F8A3E09"/>
    <w:rsid w:val="0F9D1CF4"/>
    <w:rsid w:val="0FAA1A00"/>
    <w:rsid w:val="0FAD2147"/>
    <w:rsid w:val="0FBE3DBC"/>
    <w:rsid w:val="0FC041D8"/>
    <w:rsid w:val="0FC7015B"/>
    <w:rsid w:val="0FCA6E19"/>
    <w:rsid w:val="0FD20BA5"/>
    <w:rsid w:val="0FEF27F1"/>
    <w:rsid w:val="0FF126F5"/>
    <w:rsid w:val="0FF94263"/>
    <w:rsid w:val="0FFE59B3"/>
    <w:rsid w:val="100A4980"/>
    <w:rsid w:val="100B0C56"/>
    <w:rsid w:val="100C1E0A"/>
    <w:rsid w:val="10186CF5"/>
    <w:rsid w:val="101E11FD"/>
    <w:rsid w:val="101F56EE"/>
    <w:rsid w:val="102174AF"/>
    <w:rsid w:val="102573E6"/>
    <w:rsid w:val="102A3E8E"/>
    <w:rsid w:val="1032187A"/>
    <w:rsid w:val="10342EAC"/>
    <w:rsid w:val="10362D23"/>
    <w:rsid w:val="1038065B"/>
    <w:rsid w:val="10393436"/>
    <w:rsid w:val="103E4344"/>
    <w:rsid w:val="10493E50"/>
    <w:rsid w:val="10542BF1"/>
    <w:rsid w:val="10622131"/>
    <w:rsid w:val="10730F52"/>
    <w:rsid w:val="10793394"/>
    <w:rsid w:val="107A4C4C"/>
    <w:rsid w:val="107B7762"/>
    <w:rsid w:val="107E3EA3"/>
    <w:rsid w:val="107E6A6A"/>
    <w:rsid w:val="108A27BA"/>
    <w:rsid w:val="108E186F"/>
    <w:rsid w:val="10952668"/>
    <w:rsid w:val="10A17710"/>
    <w:rsid w:val="10AA54B5"/>
    <w:rsid w:val="10B12E44"/>
    <w:rsid w:val="10BA27B6"/>
    <w:rsid w:val="10E11F67"/>
    <w:rsid w:val="10E516D4"/>
    <w:rsid w:val="10EE0585"/>
    <w:rsid w:val="10EF7D5B"/>
    <w:rsid w:val="10F96D1A"/>
    <w:rsid w:val="10FA7B5F"/>
    <w:rsid w:val="10FE0B73"/>
    <w:rsid w:val="10FE24A4"/>
    <w:rsid w:val="110278D7"/>
    <w:rsid w:val="1109500B"/>
    <w:rsid w:val="110E3BC7"/>
    <w:rsid w:val="110F05E4"/>
    <w:rsid w:val="111C25EE"/>
    <w:rsid w:val="11233439"/>
    <w:rsid w:val="11323EE8"/>
    <w:rsid w:val="1133360C"/>
    <w:rsid w:val="113F14F7"/>
    <w:rsid w:val="11454F33"/>
    <w:rsid w:val="1145781A"/>
    <w:rsid w:val="114A6435"/>
    <w:rsid w:val="114C3C3D"/>
    <w:rsid w:val="115B5A37"/>
    <w:rsid w:val="11676990"/>
    <w:rsid w:val="117A6442"/>
    <w:rsid w:val="11864EB6"/>
    <w:rsid w:val="118667A7"/>
    <w:rsid w:val="11874410"/>
    <w:rsid w:val="119A2B58"/>
    <w:rsid w:val="119C655C"/>
    <w:rsid w:val="11A13429"/>
    <w:rsid w:val="11A247B4"/>
    <w:rsid w:val="11A6427B"/>
    <w:rsid w:val="11AD7BFC"/>
    <w:rsid w:val="11B42EA3"/>
    <w:rsid w:val="11C01E6A"/>
    <w:rsid w:val="11C13854"/>
    <w:rsid w:val="11C54C0C"/>
    <w:rsid w:val="11C764B8"/>
    <w:rsid w:val="11CC3396"/>
    <w:rsid w:val="11CD1698"/>
    <w:rsid w:val="11EB34F8"/>
    <w:rsid w:val="11F0531F"/>
    <w:rsid w:val="120B05D0"/>
    <w:rsid w:val="12107552"/>
    <w:rsid w:val="121D14E9"/>
    <w:rsid w:val="12271CC9"/>
    <w:rsid w:val="122764C6"/>
    <w:rsid w:val="12443368"/>
    <w:rsid w:val="124F7D38"/>
    <w:rsid w:val="12510185"/>
    <w:rsid w:val="12681EA3"/>
    <w:rsid w:val="1268337F"/>
    <w:rsid w:val="126866DE"/>
    <w:rsid w:val="126D1698"/>
    <w:rsid w:val="12732665"/>
    <w:rsid w:val="12875DA6"/>
    <w:rsid w:val="12901988"/>
    <w:rsid w:val="12971BCD"/>
    <w:rsid w:val="12982773"/>
    <w:rsid w:val="129D3B9F"/>
    <w:rsid w:val="12A35FEA"/>
    <w:rsid w:val="12A47B84"/>
    <w:rsid w:val="12AA5997"/>
    <w:rsid w:val="12BC65FB"/>
    <w:rsid w:val="12C755F6"/>
    <w:rsid w:val="12CF74A5"/>
    <w:rsid w:val="12D11DEC"/>
    <w:rsid w:val="12D612B1"/>
    <w:rsid w:val="12D650DC"/>
    <w:rsid w:val="12DA0AC1"/>
    <w:rsid w:val="12DB481C"/>
    <w:rsid w:val="12DC06D0"/>
    <w:rsid w:val="12DF5B66"/>
    <w:rsid w:val="12FA229F"/>
    <w:rsid w:val="12FB0970"/>
    <w:rsid w:val="130039AC"/>
    <w:rsid w:val="1305519B"/>
    <w:rsid w:val="130C497F"/>
    <w:rsid w:val="13181107"/>
    <w:rsid w:val="131B6A44"/>
    <w:rsid w:val="13222FC6"/>
    <w:rsid w:val="13297ABF"/>
    <w:rsid w:val="132A1AB0"/>
    <w:rsid w:val="132D6709"/>
    <w:rsid w:val="132E46F2"/>
    <w:rsid w:val="13325DE4"/>
    <w:rsid w:val="133436ED"/>
    <w:rsid w:val="13406ADF"/>
    <w:rsid w:val="13452AD8"/>
    <w:rsid w:val="134F4616"/>
    <w:rsid w:val="13626717"/>
    <w:rsid w:val="136375EF"/>
    <w:rsid w:val="13727ED3"/>
    <w:rsid w:val="13743B61"/>
    <w:rsid w:val="13754459"/>
    <w:rsid w:val="137C1659"/>
    <w:rsid w:val="13807815"/>
    <w:rsid w:val="13843AB3"/>
    <w:rsid w:val="13892BFC"/>
    <w:rsid w:val="139B69BB"/>
    <w:rsid w:val="13A506EF"/>
    <w:rsid w:val="13A55BD1"/>
    <w:rsid w:val="13AC6501"/>
    <w:rsid w:val="13B14541"/>
    <w:rsid w:val="13B55762"/>
    <w:rsid w:val="13BB06A1"/>
    <w:rsid w:val="13BB4BB7"/>
    <w:rsid w:val="13C746FA"/>
    <w:rsid w:val="13CB4402"/>
    <w:rsid w:val="13CD664C"/>
    <w:rsid w:val="13D42854"/>
    <w:rsid w:val="13DD7BBA"/>
    <w:rsid w:val="13E203E7"/>
    <w:rsid w:val="13E73EC7"/>
    <w:rsid w:val="13EF6168"/>
    <w:rsid w:val="13F555B4"/>
    <w:rsid w:val="13F60582"/>
    <w:rsid w:val="1403062D"/>
    <w:rsid w:val="140703FA"/>
    <w:rsid w:val="140B2488"/>
    <w:rsid w:val="14166F7D"/>
    <w:rsid w:val="141E14E4"/>
    <w:rsid w:val="14214968"/>
    <w:rsid w:val="14227879"/>
    <w:rsid w:val="142D6A3D"/>
    <w:rsid w:val="1433444A"/>
    <w:rsid w:val="14387F24"/>
    <w:rsid w:val="143F2725"/>
    <w:rsid w:val="144014BF"/>
    <w:rsid w:val="1450002D"/>
    <w:rsid w:val="1452182E"/>
    <w:rsid w:val="14532578"/>
    <w:rsid w:val="14665C30"/>
    <w:rsid w:val="14706118"/>
    <w:rsid w:val="14713527"/>
    <w:rsid w:val="14741D9B"/>
    <w:rsid w:val="147B41C1"/>
    <w:rsid w:val="14820FBD"/>
    <w:rsid w:val="14940F10"/>
    <w:rsid w:val="14A0091A"/>
    <w:rsid w:val="14A24006"/>
    <w:rsid w:val="14AC7936"/>
    <w:rsid w:val="14AD2E98"/>
    <w:rsid w:val="14B26463"/>
    <w:rsid w:val="14B2734F"/>
    <w:rsid w:val="14B9215A"/>
    <w:rsid w:val="14BC12CF"/>
    <w:rsid w:val="14BC2997"/>
    <w:rsid w:val="14BE7F3C"/>
    <w:rsid w:val="14C05FA8"/>
    <w:rsid w:val="14C64143"/>
    <w:rsid w:val="14D432D9"/>
    <w:rsid w:val="14D711C9"/>
    <w:rsid w:val="14D75A6D"/>
    <w:rsid w:val="14DB52A7"/>
    <w:rsid w:val="14E42F96"/>
    <w:rsid w:val="14EF27B7"/>
    <w:rsid w:val="14F22CB3"/>
    <w:rsid w:val="14F85DB9"/>
    <w:rsid w:val="14FD74D6"/>
    <w:rsid w:val="15013C4E"/>
    <w:rsid w:val="15040C6A"/>
    <w:rsid w:val="150B6EF1"/>
    <w:rsid w:val="151B3017"/>
    <w:rsid w:val="1522443F"/>
    <w:rsid w:val="15250C3E"/>
    <w:rsid w:val="15273A4B"/>
    <w:rsid w:val="152D3144"/>
    <w:rsid w:val="1534190E"/>
    <w:rsid w:val="153B3F30"/>
    <w:rsid w:val="154236D0"/>
    <w:rsid w:val="154958CE"/>
    <w:rsid w:val="154D7E08"/>
    <w:rsid w:val="154E2E46"/>
    <w:rsid w:val="15517E05"/>
    <w:rsid w:val="15577760"/>
    <w:rsid w:val="1558450A"/>
    <w:rsid w:val="15610545"/>
    <w:rsid w:val="156F33B2"/>
    <w:rsid w:val="15715AFB"/>
    <w:rsid w:val="15762AC4"/>
    <w:rsid w:val="15762E92"/>
    <w:rsid w:val="15763FDF"/>
    <w:rsid w:val="157C0557"/>
    <w:rsid w:val="1584662D"/>
    <w:rsid w:val="1586723E"/>
    <w:rsid w:val="158A77A8"/>
    <w:rsid w:val="158F53A4"/>
    <w:rsid w:val="15A010B8"/>
    <w:rsid w:val="15A36C02"/>
    <w:rsid w:val="15A970CE"/>
    <w:rsid w:val="15B17B48"/>
    <w:rsid w:val="15B32008"/>
    <w:rsid w:val="15B37C35"/>
    <w:rsid w:val="15B4083D"/>
    <w:rsid w:val="15B80229"/>
    <w:rsid w:val="15CF7FB1"/>
    <w:rsid w:val="15D42657"/>
    <w:rsid w:val="15D96835"/>
    <w:rsid w:val="15E1470C"/>
    <w:rsid w:val="15E85954"/>
    <w:rsid w:val="15EB4A9B"/>
    <w:rsid w:val="15F42D3A"/>
    <w:rsid w:val="15F45514"/>
    <w:rsid w:val="16013AE8"/>
    <w:rsid w:val="160146FE"/>
    <w:rsid w:val="16054D43"/>
    <w:rsid w:val="16086504"/>
    <w:rsid w:val="160E0806"/>
    <w:rsid w:val="16107928"/>
    <w:rsid w:val="16143A31"/>
    <w:rsid w:val="1617733A"/>
    <w:rsid w:val="161874E0"/>
    <w:rsid w:val="161A2032"/>
    <w:rsid w:val="161E6297"/>
    <w:rsid w:val="161E69D8"/>
    <w:rsid w:val="16293AEA"/>
    <w:rsid w:val="162E765F"/>
    <w:rsid w:val="163F4C47"/>
    <w:rsid w:val="163F5FDD"/>
    <w:rsid w:val="164A4219"/>
    <w:rsid w:val="165A6108"/>
    <w:rsid w:val="16615C79"/>
    <w:rsid w:val="166439AD"/>
    <w:rsid w:val="16674F18"/>
    <w:rsid w:val="16682D07"/>
    <w:rsid w:val="1670430B"/>
    <w:rsid w:val="16790C60"/>
    <w:rsid w:val="16816758"/>
    <w:rsid w:val="16830D61"/>
    <w:rsid w:val="16995806"/>
    <w:rsid w:val="169A6933"/>
    <w:rsid w:val="169B4145"/>
    <w:rsid w:val="16B22316"/>
    <w:rsid w:val="16B52924"/>
    <w:rsid w:val="16DF4E9B"/>
    <w:rsid w:val="16E10406"/>
    <w:rsid w:val="16E419E4"/>
    <w:rsid w:val="16E66EA8"/>
    <w:rsid w:val="16EA41EB"/>
    <w:rsid w:val="16EF065E"/>
    <w:rsid w:val="16EF3EDE"/>
    <w:rsid w:val="16F83544"/>
    <w:rsid w:val="16FF03D6"/>
    <w:rsid w:val="17014C7A"/>
    <w:rsid w:val="1704259D"/>
    <w:rsid w:val="17047E4B"/>
    <w:rsid w:val="17061744"/>
    <w:rsid w:val="170B15A0"/>
    <w:rsid w:val="170D0980"/>
    <w:rsid w:val="171132BC"/>
    <w:rsid w:val="17125315"/>
    <w:rsid w:val="17134799"/>
    <w:rsid w:val="17154B5A"/>
    <w:rsid w:val="17196B6C"/>
    <w:rsid w:val="171E5158"/>
    <w:rsid w:val="17202291"/>
    <w:rsid w:val="17295830"/>
    <w:rsid w:val="17354351"/>
    <w:rsid w:val="17376196"/>
    <w:rsid w:val="173F3E4A"/>
    <w:rsid w:val="17403EEE"/>
    <w:rsid w:val="17463B85"/>
    <w:rsid w:val="1748396D"/>
    <w:rsid w:val="174957E6"/>
    <w:rsid w:val="174E1E2D"/>
    <w:rsid w:val="174E6C5D"/>
    <w:rsid w:val="175554BA"/>
    <w:rsid w:val="175D5763"/>
    <w:rsid w:val="17634AF6"/>
    <w:rsid w:val="176A3CD9"/>
    <w:rsid w:val="17812343"/>
    <w:rsid w:val="17821E27"/>
    <w:rsid w:val="178266BF"/>
    <w:rsid w:val="178D1D85"/>
    <w:rsid w:val="17915AAA"/>
    <w:rsid w:val="1793587B"/>
    <w:rsid w:val="179B028F"/>
    <w:rsid w:val="17A164B4"/>
    <w:rsid w:val="17A667CC"/>
    <w:rsid w:val="17AD7E07"/>
    <w:rsid w:val="17C15860"/>
    <w:rsid w:val="17D023CB"/>
    <w:rsid w:val="17D16278"/>
    <w:rsid w:val="17DD4682"/>
    <w:rsid w:val="17E123F9"/>
    <w:rsid w:val="17E745D3"/>
    <w:rsid w:val="17E92780"/>
    <w:rsid w:val="17FB37F4"/>
    <w:rsid w:val="17FC04F7"/>
    <w:rsid w:val="180919F4"/>
    <w:rsid w:val="18104751"/>
    <w:rsid w:val="181272C4"/>
    <w:rsid w:val="18140D6D"/>
    <w:rsid w:val="181678FE"/>
    <w:rsid w:val="1826768F"/>
    <w:rsid w:val="1827001D"/>
    <w:rsid w:val="183107DA"/>
    <w:rsid w:val="18355CBC"/>
    <w:rsid w:val="183A3D9A"/>
    <w:rsid w:val="18463D1D"/>
    <w:rsid w:val="18572F63"/>
    <w:rsid w:val="18587A66"/>
    <w:rsid w:val="185F73D3"/>
    <w:rsid w:val="18635960"/>
    <w:rsid w:val="18642900"/>
    <w:rsid w:val="186D0432"/>
    <w:rsid w:val="186D49B8"/>
    <w:rsid w:val="18716169"/>
    <w:rsid w:val="18722B54"/>
    <w:rsid w:val="187748E5"/>
    <w:rsid w:val="188A1531"/>
    <w:rsid w:val="188E3915"/>
    <w:rsid w:val="18942715"/>
    <w:rsid w:val="189B4F0A"/>
    <w:rsid w:val="18A33490"/>
    <w:rsid w:val="18AA693F"/>
    <w:rsid w:val="18B47E3C"/>
    <w:rsid w:val="18B62AF8"/>
    <w:rsid w:val="18B913B7"/>
    <w:rsid w:val="18BE3BA0"/>
    <w:rsid w:val="18CA2816"/>
    <w:rsid w:val="18CC1D93"/>
    <w:rsid w:val="18D53961"/>
    <w:rsid w:val="18DC098F"/>
    <w:rsid w:val="18DF7AF4"/>
    <w:rsid w:val="18E15489"/>
    <w:rsid w:val="18E714E4"/>
    <w:rsid w:val="18E8468E"/>
    <w:rsid w:val="18EA642A"/>
    <w:rsid w:val="18F27AAF"/>
    <w:rsid w:val="18F474C3"/>
    <w:rsid w:val="18F7236E"/>
    <w:rsid w:val="19065EB8"/>
    <w:rsid w:val="19085E2F"/>
    <w:rsid w:val="19142249"/>
    <w:rsid w:val="19166C79"/>
    <w:rsid w:val="1918232B"/>
    <w:rsid w:val="19202C3A"/>
    <w:rsid w:val="192C4EAA"/>
    <w:rsid w:val="192F2595"/>
    <w:rsid w:val="193F256F"/>
    <w:rsid w:val="193F29C9"/>
    <w:rsid w:val="194027BD"/>
    <w:rsid w:val="19452FAA"/>
    <w:rsid w:val="19533501"/>
    <w:rsid w:val="195425FC"/>
    <w:rsid w:val="19570B53"/>
    <w:rsid w:val="195E4B1F"/>
    <w:rsid w:val="19716A7A"/>
    <w:rsid w:val="197D6293"/>
    <w:rsid w:val="198B336E"/>
    <w:rsid w:val="198C2AED"/>
    <w:rsid w:val="199909F3"/>
    <w:rsid w:val="19B50FEF"/>
    <w:rsid w:val="19B81B4F"/>
    <w:rsid w:val="19C54210"/>
    <w:rsid w:val="19CF32D1"/>
    <w:rsid w:val="19D57810"/>
    <w:rsid w:val="19E10C0E"/>
    <w:rsid w:val="19E173CE"/>
    <w:rsid w:val="19E57512"/>
    <w:rsid w:val="19F22401"/>
    <w:rsid w:val="19F362B7"/>
    <w:rsid w:val="19FD7E3F"/>
    <w:rsid w:val="1A014FFA"/>
    <w:rsid w:val="1A051B07"/>
    <w:rsid w:val="1A0C04F6"/>
    <w:rsid w:val="1A1E3FB7"/>
    <w:rsid w:val="1A1F041B"/>
    <w:rsid w:val="1A216795"/>
    <w:rsid w:val="1A2410A2"/>
    <w:rsid w:val="1A2A5B40"/>
    <w:rsid w:val="1A3A2847"/>
    <w:rsid w:val="1A4160F9"/>
    <w:rsid w:val="1A485D48"/>
    <w:rsid w:val="1A4D1353"/>
    <w:rsid w:val="1A4E66B1"/>
    <w:rsid w:val="1A657FD7"/>
    <w:rsid w:val="1A6621F8"/>
    <w:rsid w:val="1A724D9A"/>
    <w:rsid w:val="1A791BD8"/>
    <w:rsid w:val="1A7D2049"/>
    <w:rsid w:val="1A7F3C86"/>
    <w:rsid w:val="1A8D2A93"/>
    <w:rsid w:val="1A904179"/>
    <w:rsid w:val="1A923940"/>
    <w:rsid w:val="1A9A5DAA"/>
    <w:rsid w:val="1A9A6F6E"/>
    <w:rsid w:val="1AA87FDA"/>
    <w:rsid w:val="1AB36255"/>
    <w:rsid w:val="1AB422FA"/>
    <w:rsid w:val="1AB646B8"/>
    <w:rsid w:val="1ABA156F"/>
    <w:rsid w:val="1AC5326E"/>
    <w:rsid w:val="1AC62199"/>
    <w:rsid w:val="1AD30876"/>
    <w:rsid w:val="1ADE5AE1"/>
    <w:rsid w:val="1AE863EA"/>
    <w:rsid w:val="1AEB7B3F"/>
    <w:rsid w:val="1AFE217E"/>
    <w:rsid w:val="1AFF793D"/>
    <w:rsid w:val="1B167B82"/>
    <w:rsid w:val="1B200286"/>
    <w:rsid w:val="1B242331"/>
    <w:rsid w:val="1B2C4ECD"/>
    <w:rsid w:val="1B2E1A7F"/>
    <w:rsid w:val="1B310E02"/>
    <w:rsid w:val="1B4468F5"/>
    <w:rsid w:val="1B4A1D6F"/>
    <w:rsid w:val="1B4C495F"/>
    <w:rsid w:val="1B562E5F"/>
    <w:rsid w:val="1B652038"/>
    <w:rsid w:val="1B6620A5"/>
    <w:rsid w:val="1B686013"/>
    <w:rsid w:val="1B714B7C"/>
    <w:rsid w:val="1B723E5B"/>
    <w:rsid w:val="1B72422D"/>
    <w:rsid w:val="1B76327B"/>
    <w:rsid w:val="1B7A7F58"/>
    <w:rsid w:val="1B7B4CB0"/>
    <w:rsid w:val="1B8358CF"/>
    <w:rsid w:val="1B8378C7"/>
    <w:rsid w:val="1B8B66FB"/>
    <w:rsid w:val="1B8D4752"/>
    <w:rsid w:val="1B9327BF"/>
    <w:rsid w:val="1B9B2EE0"/>
    <w:rsid w:val="1B9E6448"/>
    <w:rsid w:val="1BC52D14"/>
    <w:rsid w:val="1BC52E49"/>
    <w:rsid w:val="1BC869B7"/>
    <w:rsid w:val="1BD54582"/>
    <w:rsid w:val="1BDA6E3D"/>
    <w:rsid w:val="1BFA5895"/>
    <w:rsid w:val="1C033A8C"/>
    <w:rsid w:val="1C0D4E25"/>
    <w:rsid w:val="1C1060D3"/>
    <w:rsid w:val="1C180048"/>
    <w:rsid w:val="1C1D1EA2"/>
    <w:rsid w:val="1C1F4AA2"/>
    <w:rsid w:val="1C202671"/>
    <w:rsid w:val="1C301DCF"/>
    <w:rsid w:val="1C30730B"/>
    <w:rsid w:val="1C3565D5"/>
    <w:rsid w:val="1C370F9F"/>
    <w:rsid w:val="1C387F87"/>
    <w:rsid w:val="1C3B276A"/>
    <w:rsid w:val="1C417AA1"/>
    <w:rsid w:val="1C4831EA"/>
    <w:rsid w:val="1C4C73BF"/>
    <w:rsid w:val="1C506FA6"/>
    <w:rsid w:val="1C51067B"/>
    <w:rsid w:val="1C554304"/>
    <w:rsid w:val="1C6152ED"/>
    <w:rsid w:val="1C776995"/>
    <w:rsid w:val="1C83218D"/>
    <w:rsid w:val="1C847DDF"/>
    <w:rsid w:val="1C864954"/>
    <w:rsid w:val="1C904ABB"/>
    <w:rsid w:val="1C954A1A"/>
    <w:rsid w:val="1C972F47"/>
    <w:rsid w:val="1C9F06B7"/>
    <w:rsid w:val="1CA310DA"/>
    <w:rsid w:val="1CA67E4C"/>
    <w:rsid w:val="1CCB6F23"/>
    <w:rsid w:val="1CCC772F"/>
    <w:rsid w:val="1CD97644"/>
    <w:rsid w:val="1CDC252E"/>
    <w:rsid w:val="1CE25554"/>
    <w:rsid w:val="1CE276CD"/>
    <w:rsid w:val="1CEF01B2"/>
    <w:rsid w:val="1CF13EB8"/>
    <w:rsid w:val="1CFC47F1"/>
    <w:rsid w:val="1CFE3EAA"/>
    <w:rsid w:val="1D03554A"/>
    <w:rsid w:val="1D070915"/>
    <w:rsid w:val="1D0968CC"/>
    <w:rsid w:val="1D0D5FB2"/>
    <w:rsid w:val="1D140F66"/>
    <w:rsid w:val="1D1B002F"/>
    <w:rsid w:val="1D1F12E3"/>
    <w:rsid w:val="1D2E2392"/>
    <w:rsid w:val="1D2F512C"/>
    <w:rsid w:val="1D3026A4"/>
    <w:rsid w:val="1D3424DB"/>
    <w:rsid w:val="1D48466F"/>
    <w:rsid w:val="1D6075C1"/>
    <w:rsid w:val="1D6170FC"/>
    <w:rsid w:val="1D640D33"/>
    <w:rsid w:val="1D69460F"/>
    <w:rsid w:val="1D6E0B1B"/>
    <w:rsid w:val="1D8100C3"/>
    <w:rsid w:val="1D8348C0"/>
    <w:rsid w:val="1D9B7C65"/>
    <w:rsid w:val="1DA73492"/>
    <w:rsid w:val="1DA75281"/>
    <w:rsid w:val="1DAD4784"/>
    <w:rsid w:val="1DB5390E"/>
    <w:rsid w:val="1DB97990"/>
    <w:rsid w:val="1DC02338"/>
    <w:rsid w:val="1DC360A4"/>
    <w:rsid w:val="1DCE0766"/>
    <w:rsid w:val="1DD17A0D"/>
    <w:rsid w:val="1DE1446A"/>
    <w:rsid w:val="1DEF65A3"/>
    <w:rsid w:val="1DF355D1"/>
    <w:rsid w:val="1DF44ACA"/>
    <w:rsid w:val="1DF54A41"/>
    <w:rsid w:val="1DFC1D95"/>
    <w:rsid w:val="1E005798"/>
    <w:rsid w:val="1E01144C"/>
    <w:rsid w:val="1E014002"/>
    <w:rsid w:val="1E015136"/>
    <w:rsid w:val="1E0361F3"/>
    <w:rsid w:val="1E0C73C0"/>
    <w:rsid w:val="1E0F69D2"/>
    <w:rsid w:val="1E1074F2"/>
    <w:rsid w:val="1E1D6422"/>
    <w:rsid w:val="1E2C608F"/>
    <w:rsid w:val="1E4569AB"/>
    <w:rsid w:val="1E4D5367"/>
    <w:rsid w:val="1E4F7134"/>
    <w:rsid w:val="1E516642"/>
    <w:rsid w:val="1E535D74"/>
    <w:rsid w:val="1E6525BD"/>
    <w:rsid w:val="1E66642B"/>
    <w:rsid w:val="1E672739"/>
    <w:rsid w:val="1E692B69"/>
    <w:rsid w:val="1E6B12D0"/>
    <w:rsid w:val="1E6C4C1C"/>
    <w:rsid w:val="1E736E16"/>
    <w:rsid w:val="1E786E1E"/>
    <w:rsid w:val="1E7D702C"/>
    <w:rsid w:val="1E815A94"/>
    <w:rsid w:val="1E8503AF"/>
    <w:rsid w:val="1E866F8C"/>
    <w:rsid w:val="1E893813"/>
    <w:rsid w:val="1E9B1237"/>
    <w:rsid w:val="1EA011A6"/>
    <w:rsid w:val="1EA105F6"/>
    <w:rsid w:val="1EAA075A"/>
    <w:rsid w:val="1EBE6A16"/>
    <w:rsid w:val="1EBF4C48"/>
    <w:rsid w:val="1EC36FD9"/>
    <w:rsid w:val="1ECE421E"/>
    <w:rsid w:val="1ED37BDA"/>
    <w:rsid w:val="1ED851BE"/>
    <w:rsid w:val="1EF40BE0"/>
    <w:rsid w:val="1EFF54AC"/>
    <w:rsid w:val="1F025D44"/>
    <w:rsid w:val="1F080A42"/>
    <w:rsid w:val="1F091292"/>
    <w:rsid w:val="1F0A7BAB"/>
    <w:rsid w:val="1F1003A7"/>
    <w:rsid w:val="1F1452B2"/>
    <w:rsid w:val="1F264088"/>
    <w:rsid w:val="1F39145F"/>
    <w:rsid w:val="1F3C2F59"/>
    <w:rsid w:val="1F4042BF"/>
    <w:rsid w:val="1F4604D7"/>
    <w:rsid w:val="1F4E1EDB"/>
    <w:rsid w:val="1F5327E9"/>
    <w:rsid w:val="1F536BEC"/>
    <w:rsid w:val="1F595E0E"/>
    <w:rsid w:val="1F5D48D1"/>
    <w:rsid w:val="1F5E43F7"/>
    <w:rsid w:val="1F6161F7"/>
    <w:rsid w:val="1F6B6EAA"/>
    <w:rsid w:val="1F7068FB"/>
    <w:rsid w:val="1F706BB4"/>
    <w:rsid w:val="1F7159C0"/>
    <w:rsid w:val="1F951FBE"/>
    <w:rsid w:val="1F9919F8"/>
    <w:rsid w:val="1F9C700A"/>
    <w:rsid w:val="1F9D3C68"/>
    <w:rsid w:val="1FA87387"/>
    <w:rsid w:val="1FC81A67"/>
    <w:rsid w:val="1FD11E39"/>
    <w:rsid w:val="1FD52875"/>
    <w:rsid w:val="1FD62ABE"/>
    <w:rsid w:val="1FE22556"/>
    <w:rsid w:val="1FF65C6B"/>
    <w:rsid w:val="1FFE25AF"/>
    <w:rsid w:val="200B3C41"/>
    <w:rsid w:val="20105057"/>
    <w:rsid w:val="20134E7D"/>
    <w:rsid w:val="201E058B"/>
    <w:rsid w:val="201E4AF3"/>
    <w:rsid w:val="20291EFC"/>
    <w:rsid w:val="20317C43"/>
    <w:rsid w:val="2038007E"/>
    <w:rsid w:val="203A5FF3"/>
    <w:rsid w:val="20473B8F"/>
    <w:rsid w:val="20485A72"/>
    <w:rsid w:val="204E6E74"/>
    <w:rsid w:val="204E7BFB"/>
    <w:rsid w:val="205465E6"/>
    <w:rsid w:val="20566493"/>
    <w:rsid w:val="206C0C22"/>
    <w:rsid w:val="206E7780"/>
    <w:rsid w:val="206F532F"/>
    <w:rsid w:val="207465C2"/>
    <w:rsid w:val="207F1EFC"/>
    <w:rsid w:val="20826E49"/>
    <w:rsid w:val="2083756D"/>
    <w:rsid w:val="208601BD"/>
    <w:rsid w:val="208774AB"/>
    <w:rsid w:val="2098257F"/>
    <w:rsid w:val="209A2F4F"/>
    <w:rsid w:val="209B62FF"/>
    <w:rsid w:val="209F794C"/>
    <w:rsid w:val="20A03076"/>
    <w:rsid w:val="20A30FC1"/>
    <w:rsid w:val="20A95702"/>
    <w:rsid w:val="20AB2C2F"/>
    <w:rsid w:val="20B5430F"/>
    <w:rsid w:val="20B6577C"/>
    <w:rsid w:val="20B97F5F"/>
    <w:rsid w:val="20BE5C42"/>
    <w:rsid w:val="20BF2F31"/>
    <w:rsid w:val="20C42951"/>
    <w:rsid w:val="20C86CC3"/>
    <w:rsid w:val="20E80916"/>
    <w:rsid w:val="20EC2097"/>
    <w:rsid w:val="20EC72F2"/>
    <w:rsid w:val="20F1539D"/>
    <w:rsid w:val="20F93BA4"/>
    <w:rsid w:val="20FE5305"/>
    <w:rsid w:val="20FF37D2"/>
    <w:rsid w:val="210B63C8"/>
    <w:rsid w:val="21106E38"/>
    <w:rsid w:val="2134003F"/>
    <w:rsid w:val="21387955"/>
    <w:rsid w:val="21477A00"/>
    <w:rsid w:val="21650B9B"/>
    <w:rsid w:val="216D3B76"/>
    <w:rsid w:val="21742246"/>
    <w:rsid w:val="21760710"/>
    <w:rsid w:val="217A3E4A"/>
    <w:rsid w:val="217A779A"/>
    <w:rsid w:val="21820CD4"/>
    <w:rsid w:val="2193369E"/>
    <w:rsid w:val="219865E1"/>
    <w:rsid w:val="219C2B33"/>
    <w:rsid w:val="21A522BA"/>
    <w:rsid w:val="21AD1823"/>
    <w:rsid w:val="21AE602E"/>
    <w:rsid w:val="21B459CA"/>
    <w:rsid w:val="21B95515"/>
    <w:rsid w:val="21BA431D"/>
    <w:rsid w:val="21BD2BAC"/>
    <w:rsid w:val="21BF2C5A"/>
    <w:rsid w:val="21C31AE7"/>
    <w:rsid w:val="21CF5350"/>
    <w:rsid w:val="21D61064"/>
    <w:rsid w:val="21DD0084"/>
    <w:rsid w:val="21E74D06"/>
    <w:rsid w:val="21ED3F2B"/>
    <w:rsid w:val="21F116CC"/>
    <w:rsid w:val="21F71FF5"/>
    <w:rsid w:val="21F97A07"/>
    <w:rsid w:val="21FA069D"/>
    <w:rsid w:val="220639E0"/>
    <w:rsid w:val="220C0BF1"/>
    <w:rsid w:val="22156350"/>
    <w:rsid w:val="221B0B1E"/>
    <w:rsid w:val="2225719B"/>
    <w:rsid w:val="22257A64"/>
    <w:rsid w:val="222A77B5"/>
    <w:rsid w:val="22432FDB"/>
    <w:rsid w:val="224F3C40"/>
    <w:rsid w:val="2256003A"/>
    <w:rsid w:val="22586271"/>
    <w:rsid w:val="226813A2"/>
    <w:rsid w:val="226F3796"/>
    <w:rsid w:val="22723E5B"/>
    <w:rsid w:val="2273462E"/>
    <w:rsid w:val="22756278"/>
    <w:rsid w:val="227E17B9"/>
    <w:rsid w:val="22807671"/>
    <w:rsid w:val="22872A4B"/>
    <w:rsid w:val="228D3C84"/>
    <w:rsid w:val="229130DD"/>
    <w:rsid w:val="229B0393"/>
    <w:rsid w:val="22A16927"/>
    <w:rsid w:val="22A96673"/>
    <w:rsid w:val="22B14036"/>
    <w:rsid w:val="22B3477D"/>
    <w:rsid w:val="22B84315"/>
    <w:rsid w:val="22C04033"/>
    <w:rsid w:val="22D033EE"/>
    <w:rsid w:val="22D3111E"/>
    <w:rsid w:val="22D446CB"/>
    <w:rsid w:val="22D503DC"/>
    <w:rsid w:val="22DB0C92"/>
    <w:rsid w:val="22E364FE"/>
    <w:rsid w:val="22F32D2A"/>
    <w:rsid w:val="22F37793"/>
    <w:rsid w:val="22F44AA8"/>
    <w:rsid w:val="23067398"/>
    <w:rsid w:val="230838D3"/>
    <w:rsid w:val="23084769"/>
    <w:rsid w:val="230878BD"/>
    <w:rsid w:val="230B6C61"/>
    <w:rsid w:val="230E74F3"/>
    <w:rsid w:val="2313534B"/>
    <w:rsid w:val="231557A7"/>
    <w:rsid w:val="231C37D9"/>
    <w:rsid w:val="231F1A2D"/>
    <w:rsid w:val="23253A99"/>
    <w:rsid w:val="232B0715"/>
    <w:rsid w:val="2336223B"/>
    <w:rsid w:val="23384C7F"/>
    <w:rsid w:val="23485CBC"/>
    <w:rsid w:val="234C6898"/>
    <w:rsid w:val="235A3A13"/>
    <w:rsid w:val="235B4826"/>
    <w:rsid w:val="235D6667"/>
    <w:rsid w:val="236434DF"/>
    <w:rsid w:val="23711871"/>
    <w:rsid w:val="2373519E"/>
    <w:rsid w:val="23752CD1"/>
    <w:rsid w:val="2393335C"/>
    <w:rsid w:val="2394524E"/>
    <w:rsid w:val="239B473E"/>
    <w:rsid w:val="239E0E57"/>
    <w:rsid w:val="239F6AA9"/>
    <w:rsid w:val="23A56D30"/>
    <w:rsid w:val="23BA4A4A"/>
    <w:rsid w:val="23BC3600"/>
    <w:rsid w:val="23BD300F"/>
    <w:rsid w:val="23BE66F2"/>
    <w:rsid w:val="23BF70EE"/>
    <w:rsid w:val="23CE2D17"/>
    <w:rsid w:val="23D1074C"/>
    <w:rsid w:val="23D57F9F"/>
    <w:rsid w:val="23D72BD4"/>
    <w:rsid w:val="23D821F3"/>
    <w:rsid w:val="23E16218"/>
    <w:rsid w:val="23E91787"/>
    <w:rsid w:val="23FB1FD6"/>
    <w:rsid w:val="23FD4734"/>
    <w:rsid w:val="23FE7055"/>
    <w:rsid w:val="241D0377"/>
    <w:rsid w:val="241F6B31"/>
    <w:rsid w:val="24225771"/>
    <w:rsid w:val="242F121B"/>
    <w:rsid w:val="242F7D7F"/>
    <w:rsid w:val="24323258"/>
    <w:rsid w:val="24344513"/>
    <w:rsid w:val="24402248"/>
    <w:rsid w:val="24430540"/>
    <w:rsid w:val="24465E67"/>
    <w:rsid w:val="244F392C"/>
    <w:rsid w:val="24566BB3"/>
    <w:rsid w:val="246745CF"/>
    <w:rsid w:val="247909E6"/>
    <w:rsid w:val="247D6613"/>
    <w:rsid w:val="247F3276"/>
    <w:rsid w:val="248229B3"/>
    <w:rsid w:val="248263E8"/>
    <w:rsid w:val="2487312E"/>
    <w:rsid w:val="248E3B0F"/>
    <w:rsid w:val="248E4AA8"/>
    <w:rsid w:val="24927B47"/>
    <w:rsid w:val="249706AC"/>
    <w:rsid w:val="24A71E63"/>
    <w:rsid w:val="24BA27DC"/>
    <w:rsid w:val="24BB1BF3"/>
    <w:rsid w:val="24BF1BF8"/>
    <w:rsid w:val="24C16B7E"/>
    <w:rsid w:val="24C777FC"/>
    <w:rsid w:val="24C97754"/>
    <w:rsid w:val="24CA0A52"/>
    <w:rsid w:val="24D032A8"/>
    <w:rsid w:val="24DC01F1"/>
    <w:rsid w:val="24F274F9"/>
    <w:rsid w:val="24F92182"/>
    <w:rsid w:val="25010857"/>
    <w:rsid w:val="25013508"/>
    <w:rsid w:val="251735D1"/>
    <w:rsid w:val="25200C2C"/>
    <w:rsid w:val="2523309B"/>
    <w:rsid w:val="25273734"/>
    <w:rsid w:val="252A6AE0"/>
    <w:rsid w:val="252B431B"/>
    <w:rsid w:val="25301273"/>
    <w:rsid w:val="253106E3"/>
    <w:rsid w:val="25360BD3"/>
    <w:rsid w:val="253D4A69"/>
    <w:rsid w:val="25402677"/>
    <w:rsid w:val="25470240"/>
    <w:rsid w:val="254E010C"/>
    <w:rsid w:val="255174B4"/>
    <w:rsid w:val="25547E2A"/>
    <w:rsid w:val="255667FC"/>
    <w:rsid w:val="255F5690"/>
    <w:rsid w:val="256075EB"/>
    <w:rsid w:val="25607FFB"/>
    <w:rsid w:val="256147DF"/>
    <w:rsid w:val="25697CB9"/>
    <w:rsid w:val="256B0432"/>
    <w:rsid w:val="256B20DA"/>
    <w:rsid w:val="256C32AC"/>
    <w:rsid w:val="256C5A67"/>
    <w:rsid w:val="257166CE"/>
    <w:rsid w:val="257343F1"/>
    <w:rsid w:val="257D7898"/>
    <w:rsid w:val="25814B8D"/>
    <w:rsid w:val="25937329"/>
    <w:rsid w:val="25A03288"/>
    <w:rsid w:val="25B50F13"/>
    <w:rsid w:val="25B778F7"/>
    <w:rsid w:val="25B77911"/>
    <w:rsid w:val="25BF7C7E"/>
    <w:rsid w:val="25D62CB9"/>
    <w:rsid w:val="25D75A00"/>
    <w:rsid w:val="25D92141"/>
    <w:rsid w:val="25F91AE0"/>
    <w:rsid w:val="260375C8"/>
    <w:rsid w:val="26076BEC"/>
    <w:rsid w:val="26136FC9"/>
    <w:rsid w:val="26183B92"/>
    <w:rsid w:val="261C5A70"/>
    <w:rsid w:val="262D1FAF"/>
    <w:rsid w:val="26371D46"/>
    <w:rsid w:val="263B369C"/>
    <w:rsid w:val="263E40C8"/>
    <w:rsid w:val="263F15A9"/>
    <w:rsid w:val="26505CA2"/>
    <w:rsid w:val="26537B06"/>
    <w:rsid w:val="265F3AE1"/>
    <w:rsid w:val="26605253"/>
    <w:rsid w:val="26667A36"/>
    <w:rsid w:val="26674E1A"/>
    <w:rsid w:val="266E5A26"/>
    <w:rsid w:val="26702E99"/>
    <w:rsid w:val="267073EB"/>
    <w:rsid w:val="268324ED"/>
    <w:rsid w:val="268A2D7B"/>
    <w:rsid w:val="269A4E22"/>
    <w:rsid w:val="269B20CE"/>
    <w:rsid w:val="269C1254"/>
    <w:rsid w:val="269E1C83"/>
    <w:rsid w:val="26A46E46"/>
    <w:rsid w:val="26A55B50"/>
    <w:rsid w:val="26AA6307"/>
    <w:rsid w:val="26B2067A"/>
    <w:rsid w:val="26C17C67"/>
    <w:rsid w:val="26CA232C"/>
    <w:rsid w:val="26CD0652"/>
    <w:rsid w:val="270F4D35"/>
    <w:rsid w:val="271C00AF"/>
    <w:rsid w:val="271C3909"/>
    <w:rsid w:val="27205B7A"/>
    <w:rsid w:val="272219B2"/>
    <w:rsid w:val="272A568F"/>
    <w:rsid w:val="27310119"/>
    <w:rsid w:val="273871AE"/>
    <w:rsid w:val="27433D26"/>
    <w:rsid w:val="27522181"/>
    <w:rsid w:val="275A7C11"/>
    <w:rsid w:val="2771757C"/>
    <w:rsid w:val="2772176E"/>
    <w:rsid w:val="277956C0"/>
    <w:rsid w:val="277D3F59"/>
    <w:rsid w:val="278852CF"/>
    <w:rsid w:val="278C1EEE"/>
    <w:rsid w:val="278C2601"/>
    <w:rsid w:val="279010A7"/>
    <w:rsid w:val="27A45AEE"/>
    <w:rsid w:val="27C0173F"/>
    <w:rsid w:val="27C277FB"/>
    <w:rsid w:val="27CA2745"/>
    <w:rsid w:val="27DB4937"/>
    <w:rsid w:val="27E412BF"/>
    <w:rsid w:val="27E54924"/>
    <w:rsid w:val="27E730ED"/>
    <w:rsid w:val="27EC27F2"/>
    <w:rsid w:val="27EE2752"/>
    <w:rsid w:val="27FD61BF"/>
    <w:rsid w:val="280106B5"/>
    <w:rsid w:val="280448F2"/>
    <w:rsid w:val="28080026"/>
    <w:rsid w:val="280E749F"/>
    <w:rsid w:val="281007C0"/>
    <w:rsid w:val="282F1AA4"/>
    <w:rsid w:val="2836295E"/>
    <w:rsid w:val="28366469"/>
    <w:rsid w:val="283926D5"/>
    <w:rsid w:val="28454541"/>
    <w:rsid w:val="28460CA2"/>
    <w:rsid w:val="28582734"/>
    <w:rsid w:val="286D2CB5"/>
    <w:rsid w:val="287A0D7E"/>
    <w:rsid w:val="287A5747"/>
    <w:rsid w:val="28883272"/>
    <w:rsid w:val="28A63693"/>
    <w:rsid w:val="28A718BD"/>
    <w:rsid w:val="28A729D0"/>
    <w:rsid w:val="28A817D5"/>
    <w:rsid w:val="28AC141C"/>
    <w:rsid w:val="28B07862"/>
    <w:rsid w:val="28B33E6E"/>
    <w:rsid w:val="28BE289F"/>
    <w:rsid w:val="28BE30FB"/>
    <w:rsid w:val="28CF41FD"/>
    <w:rsid w:val="28D66988"/>
    <w:rsid w:val="28DD45A1"/>
    <w:rsid w:val="28E3402E"/>
    <w:rsid w:val="28E92376"/>
    <w:rsid w:val="28F056F8"/>
    <w:rsid w:val="28F94A9C"/>
    <w:rsid w:val="28FB7A05"/>
    <w:rsid w:val="29033B5A"/>
    <w:rsid w:val="290478C9"/>
    <w:rsid w:val="290E1161"/>
    <w:rsid w:val="29151CF6"/>
    <w:rsid w:val="291F4129"/>
    <w:rsid w:val="29230A2B"/>
    <w:rsid w:val="29256524"/>
    <w:rsid w:val="292649CE"/>
    <w:rsid w:val="292938D2"/>
    <w:rsid w:val="293869B9"/>
    <w:rsid w:val="293A3E54"/>
    <w:rsid w:val="2952616D"/>
    <w:rsid w:val="29556929"/>
    <w:rsid w:val="29567CD3"/>
    <w:rsid w:val="295B54F5"/>
    <w:rsid w:val="295D075E"/>
    <w:rsid w:val="29681619"/>
    <w:rsid w:val="296F1C46"/>
    <w:rsid w:val="297240FF"/>
    <w:rsid w:val="298760B8"/>
    <w:rsid w:val="298F133C"/>
    <w:rsid w:val="299557BB"/>
    <w:rsid w:val="29964AB0"/>
    <w:rsid w:val="29A030C1"/>
    <w:rsid w:val="29A07D6A"/>
    <w:rsid w:val="29A153B7"/>
    <w:rsid w:val="29A25155"/>
    <w:rsid w:val="29A60866"/>
    <w:rsid w:val="29A8629E"/>
    <w:rsid w:val="29AC20F0"/>
    <w:rsid w:val="29B2592A"/>
    <w:rsid w:val="29BD780E"/>
    <w:rsid w:val="29C044C7"/>
    <w:rsid w:val="29C264A7"/>
    <w:rsid w:val="29C511DE"/>
    <w:rsid w:val="29C53DC7"/>
    <w:rsid w:val="29CE10CA"/>
    <w:rsid w:val="29D853D3"/>
    <w:rsid w:val="29DD673A"/>
    <w:rsid w:val="29E2076B"/>
    <w:rsid w:val="29E2121D"/>
    <w:rsid w:val="29EB4D99"/>
    <w:rsid w:val="29EF5F9A"/>
    <w:rsid w:val="29F034F7"/>
    <w:rsid w:val="29F6260C"/>
    <w:rsid w:val="29F65B0F"/>
    <w:rsid w:val="29F77F63"/>
    <w:rsid w:val="29FC66CB"/>
    <w:rsid w:val="2A081A9E"/>
    <w:rsid w:val="2A0A513D"/>
    <w:rsid w:val="2A120DDC"/>
    <w:rsid w:val="2A135563"/>
    <w:rsid w:val="2A235B48"/>
    <w:rsid w:val="2A252CFE"/>
    <w:rsid w:val="2A2A5B80"/>
    <w:rsid w:val="2A341489"/>
    <w:rsid w:val="2A431E6D"/>
    <w:rsid w:val="2A460BD1"/>
    <w:rsid w:val="2A4E4D78"/>
    <w:rsid w:val="2A6220D8"/>
    <w:rsid w:val="2A683FFD"/>
    <w:rsid w:val="2A6C29FC"/>
    <w:rsid w:val="2A7737B4"/>
    <w:rsid w:val="2A7B5896"/>
    <w:rsid w:val="2A7D15E0"/>
    <w:rsid w:val="2A892CF4"/>
    <w:rsid w:val="2A943850"/>
    <w:rsid w:val="2AA34657"/>
    <w:rsid w:val="2ABF3CF8"/>
    <w:rsid w:val="2ACA2829"/>
    <w:rsid w:val="2ACF441C"/>
    <w:rsid w:val="2AD40901"/>
    <w:rsid w:val="2AD75188"/>
    <w:rsid w:val="2AF17BF0"/>
    <w:rsid w:val="2AF624ED"/>
    <w:rsid w:val="2AFC7290"/>
    <w:rsid w:val="2B0C22C5"/>
    <w:rsid w:val="2B0D6A88"/>
    <w:rsid w:val="2B106800"/>
    <w:rsid w:val="2B1B67CE"/>
    <w:rsid w:val="2B2E504B"/>
    <w:rsid w:val="2B4F4E69"/>
    <w:rsid w:val="2B524799"/>
    <w:rsid w:val="2B5F331A"/>
    <w:rsid w:val="2B666BED"/>
    <w:rsid w:val="2B6D20E0"/>
    <w:rsid w:val="2B707673"/>
    <w:rsid w:val="2B7B042A"/>
    <w:rsid w:val="2B7C26AF"/>
    <w:rsid w:val="2B7E1296"/>
    <w:rsid w:val="2B80615F"/>
    <w:rsid w:val="2B86238C"/>
    <w:rsid w:val="2B8D0B9E"/>
    <w:rsid w:val="2B963912"/>
    <w:rsid w:val="2B9A4B2B"/>
    <w:rsid w:val="2B9D3CAE"/>
    <w:rsid w:val="2BA22C4E"/>
    <w:rsid w:val="2BA37347"/>
    <w:rsid w:val="2BAD1E09"/>
    <w:rsid w:val="2BAF14C7"/>
    <w:rsid w:val="2BB67BDB"/>
    <w:rsid w:val="2BBA3305"/>
    <w:rsid w:val="2BBB66E3"/>
    <w:rsid w:val="2BCB118D"/>
    <w:rsid w:val="2BCC3F57"/>
    <w:rsid w:val="2BD331B9"/>
    <w:rsid w:val="2BD436D3"/>
    <w:rsid w:val="2BD54DB9"/>
    <w:rsid w:val="2BD72520"/>
    <w:rsid w:val="2BDF188D"/>
    <w:rsid w:val="2BE42B12"/>
    <w:rsid w:val="2BE57067"/>
    <w:rsid w:val="2BE82453"/>
    <w:rsid w:val="2BEC63AC"/>
    <w:rsid w:val="2BF00C60"/>
    <w:rsid w:val="2BF017E3"/>
    <w:rsid w:val="2C0058D1"/>
    <w:rsid w:val="2C1833F7"/>
    <w:rsid w:val="2C18450E"/>
    <w:rsid w:val="2C1B68C1"/>
    <w:rsid w:val="2C1E3B35"/>
    <w:rsid w:val="2C2176D5"/>
    <w:rsid w:val="2C2A7B34"/>
    <w:rsid w:val="2C341086"/>
    <w:rsid w:val="2C353BF3"/>
    <w:rsid w:val="2C354A6A"/>
    <w:rsid w:val="2C382E59"/>
    <w:rsid w:val="2C3F2F04"/>
    <w:rsid w:val="2C417437"/>
    <w:rsid w:val="2C4249EC"/>
    <w:rsid w:val="2C43701B"/>
    <w:rsid w:val="2C471D5A"/>
    <w:rsid w:val="2C4C270B"/>
    <w:rsid w:val="2C4C6B8B"/>
    <w:rsid w:val="2C712836"/>
    <w:rsid w:val="2C7553F3"/>
    <w:rsid w:val="2C893732"/>
    <w:rsid w:val="2C895281"/>
    <w:rsid w:val="2C962994"/>
    <w:rsid w:val="2C9C75DB"/>
    <w:rsid w:val="2CA731FD"/>
    <w:rsid w:val="2CAF2EEF"/>
    <w:rsid w:val="2CB25A66"/>
    <w:rsid w:val="2CBB21B9"/>
    <w:rsid w:val="2CCE08E5"/>
    <w:rsid w:val="2CCE11DF"/>
    <w:rsid w:val="2CD915C1"/>
    <w:rsid w:val="2CDD05EE"/>
    <w:rsid w:val="2CE32938"/>
    <w:rsid w:val="2CE64ABC"/>
    <w:rsid w:val="2CE727DD"/>
    <w:rsid w:val="2CEF4DD5"/>
    <w:rsid w:val="2CF23A6A"/>
    <w:rsid w:val="2CF30BD7"/>
    <w:rsid w:val="2D012A6A"/>
    <w:rsid w:val="2D070F98"/>
    <w:rsid w:val="2D0830A3"/>
    <w:rsid w:val="2D0E44D0"/>
    <w:rsid w:val="2D110922"/>
    <w:rsid w:val="2D1200D5"/>
    <w:rsid w:val="2D1E51E6"/>
    <w:rsid w:val="2D204E57"/>
    <w:rsid w:val="2D234902"/>
    <w:rsid w:val="2D2E00A9"/>
    <w:rsid w:val="2D2E509A"/>
    <w:rsid w:val="2D3B7577"/>
    <w:rsid w:val="2D3C0FA3"/>
    <w:rsid w:val="2D470CDA"/>
    <w:rsid w:val="2D497953"/>
    <w:rsid w:val="2D4A2D26"/>
    <w:rsid w:val="2D4B598F"/>
    <w:rsid w:val="2D517344"/>
    <w:rsid w:val="2D5A1CE9"/>
    <w:rsid w:val="2D6179BA"/>
    <w:rsid w:val="2D660D2F"/>
    <w:rsid w:val="2D665127"/>
    <w:rsid w:val="2D690D75"/>
    <w:rsid w:val="2D6C5020"/>
    <w:rsid w:val="2D75649A"/>
    <w:rsid w:val="2D7878F4"/>
    <w:rsid w:val="2D797507"/>
    <w:rsid w:val="2D7D29EA"/>
    <w:rsid w:val="2D86771A"/>
    <w:rsid w:val="2D895BCC"/>
    <w:rsid w:val="2D9736F2"/>
    <w:rsid w:val="2DA71491"/>
    <w:rsid w:val="2DAE613B"/>
    <w:rsid w:val="2DB4529A"/>
    <w:rsid w:val="2DBB3288"/>
    <w:rsid w:val="2DBB4B9D"/>
    <w:rsid w:val="2DBE09BF"/>
    <w:rsid w:val="2DC12396"/>
    <w:rsid w:val="2DC5591C"/>
    <w:rsid w:val="2DD47891"/>
    <w:rsid w:val="2DD92970"/>
    <w:rsid w:val="2DF45362"/>
    <w:rsid w:val="2E0473BF"/>
    <w:rsid w:val="2E056B26"/>
    <w:rsid w:val="2E0F14CD"/>
    <w:rsid w:val="2E1B7565"/>
    <w:rsid w:val="2E241B72"/>
    <w:rsid w:val="2E2E3AA7"/>
    <w:rsid w:val="2E2F7320"/>
    <w:rsid w:val="2E340BE7"/>
    <w:rsid w:val="2E393764"/>
    <w:rsid w:val="2E39668B"/>
    <w:rsid w:val="2E396776"/>
    <w:rsid w:val="2E3B570E"/>
    <w:rsid w:val="2E477354"/>
    <w:rsid w:val="2E491CFE"/>
    <w:rsid w:val="2E4E4635"/>
    <w:rsid w:val="2E553A4D"/>
    <w:rsid w:val="2E57277E"/>
    <w:rsid w:val="2E5A5599"/>
    <w:rsid w:val="2E5C4E09"/>
    <w:rsid w:val="2E5E775B"/>
    <w:rsid w:val="2E665E20"/>
    <w:rsid w:val="2E8540EE"/>
    <w:rsid w:val="2E886560"/>
    <w:rsid w:val="2E892055"/>
    <w:rsid w:val="2E9F1822"/>
    <w:rsid w:val="2E9F339F"/>
    <w:rsid w:val="2EA425DB"/>
    <w:rsid w:val="2EA73F78"/>
    <w:rsid w:val="2EAD61CF"/>
    <w:rsid w:val="2EBE37FD"/>
    <w:rsid w:val="2EBF56C3"/>
    <w:rsid w:val="2EC16F7C"/>
    <w:rsid w:val="2EC351C9"/>
    <w:rsid w:val="2EC5551E"/>
    <w:rsid w:val="2EC95F4E"/>
    <w:rsid w:val="2ECB3FE3"/>
    <w:rsid w:val="2ED2320C"/>
    <w:rsid w:val="2ED35CCD"/>
    <w:rsid w:val="2ED40F9D"/>
    <w:rsid w:val="2EE62D89"/>
    <w:rsid w:val="2EEA2529"/>
    <w:rsid w:val="2EF4578D"/>
    <w:rsid w:val="2EFD7EA9"/>
    <w:rsid w:val="2EFE327C"/>
    <w:rsid w:val="2F024BBB"/>
    <w:rsid w:val="2F0F3514"/>
    <w:rsid w:val="2F0F45A5"/>
    <w:rsid w:val="2F1A3C19"/>
    <w:rsid w:val="2F1D2449"/>
    <w:rsid w:val="2F1F5E53"/>
    <w:rsid w:val="2F215F25"/>
    <w:rsid w:val="2F226CD7"/>
    <w:rsid w:val="2F2321A9"/>
    <w:rsid w:val="2F2E5700"/>
    <w:rsid w:val="2F3356D7"/>
    <w:rsid w:val="2F3F42CD"/>
    <w:rsid w:val="2F461873"/>
    <w:rsid w:val="2F512E99"/>
    <w:rsid w:val="2F524FEF"/>
    <w:rsid w:val="2F5428D0"/>
    <w:rsid w:val="2F5642EF"/>
    <w:rsid w:val="2F5D11DB"/>
    <w:rsid w:val="2F66020F"/>
    <w:rsid w:val="2F6B39AE"/>
    <w:rsid w:val="2F7547F6"/>
    <w:rsid w:val="2F75594A"/>
    <w:rsid w:val="2F882EC1"/>
    <w:rsid w:val="2F8F626E"/>
    <w:rsid w:val="2F9139A0"/>
    <w:rsid w:val="2F9A6EE4"/>
    <w:rsid w:val="2F9B41C5"/>
    <w:rsid w:val="2F9B6F22"/>
    <w:rsid w:val="2FA429D0"/>
    <w:rsid w:val="2FA52799"/>
    <w:rsid w:val="2FA77BA0"/>
    <w:rsid w:val="2FB11B6F"/>
    <w:rsid w:val="2FB96CD0"/>
    <w:rsid w:val="2FBA60E8"/>
    <w:rsid w:val="2FD626CA"/>
    <w:rsid w:val="2FD76280"/>
    <w:rsid w:val="2FDB0972"/>
    <w:rsid w:val="2FDC1562"/>
    <w:rsid w:val="2FE34422"/>
    <w:rsid w:val="2FF15351"/>
    <w:rsid w:val="2FF8700A"/>
    <w:rsid w:val="2FFC2815"/>
    <w:rsid w:val="300B5DF3"/>
    <w:rsid w:val="30180F35"/>
    <w:rsid w:val="301A5B3C"/>
    <w:rsid w:val="301F058A"/>
    <w:rsid w:val="302542EE"/>
    <w:rsid w:val="303E66AC"/>
    <w:rsid w:val="3042313E"/>
    <w:rsid w:val="304461D9"/>
    <w:rsid w:val="304676EF"/>
    <w:rsid w:val="304C07DB"/>
    <w:rsid w:val="305C6653"/>
    <w:rsid w:val="305E6D09"/>
    <w:rsid w:val="30615B50"/>
    <w:rsid w:val="306A3164"/>
    <w:rsid w:val="306C0ADB"/>
    <w:rsid w:val="306C703B"/>
    <w:rsid w:val="30766B8F"/>
    <w:rsid w:val="30822D6C"/>
    <w:rsid w:val="30824918"/>
    <w:rsid w:val="30883EF4"/>
    <w:rsid w:val="30A6210E"/>
    <w:rsid w:val="30AC7B6A"/>
    <w:rsid w:val="30B17495"/>
    <w:rsid w:val="30B416B9"/>
    <w:rsid w:val="30B573AB"/>
    <w:rsid w:val="30B70018"/>
    <w:rsid w:val="30B934A1"/>
    <w:rsid w:val="30BA3CEE"/>
    <w:rsid w:val="30D208FD"/>
    <w:rsid w:val="30D32FEF"/>
    <w:rsid w:val="30DC4AF6"/>
    <w:rsid w:val="30E70211"/>
    <w:rsid w:val="30E73C83"/>
    <w:rsid w:val="30F74B18"/>
    <w:rsid w:val="30FB28C6"/>
    <w:rsid w:val="31030F51"/>
    <w:rsid w:val="310A2375"/>
    <w:rsid w:val="310B35B5"/>
    <w:rsid w:val="310F4BD7"/>
    <w:rsid w:val="311435F6"/>
    <w:rsid w:val="31172051"/>
    <w:rsid w:val="3118255C"/>
    <w:rsid w:val="31184581"/>
    <w:rsid w:val="311A645C"/>
    <w:rsid w:val="3128446B"/>
    <w:rsid w:val="313078DE"/>
    <w:rsid w:val="31325830"/>
    <w:rsid w:val="31344303"/>
    <w:rsid w:val="313A493A"/>
    <w:rsid w:val="31466B3A"/>
    <w:rsid w:val="314A6BE0"/>
    <w:rsid w:val="314D7F1C"/>
    <w:rsid w:val="315570E5"/>
    <w:rsid w:val="315A1D72"/>
    <w:rsid w:val="31674EDC"/>
    <w:rsid w:val="316C39F5"/>
    <w:rsid w:val="316D7253"/>
    <w:rsid w:val="317B2967"/>
    <w:rsid w:val="317C62F3"/>
    <w:rsid w:val="317F1D43"/>
    <w:rsid w:val="318C3ED3"/>
    <w:rsid w:val="319827B6"/>
    <w:rsid w:val="319A6545"/>
    <w:rsid w:val="319E7FA2"/>
    <w:rsid w:val="31A71310"/>
    <w:rsid w:val="31A71575"/>
    <w:rsid w:val="31B41490"/>
    <w:rsid w:val="31B76CE7"/>
    <w:rsid w:val="31BC627F"/>
    <w:rsid w:val="31C17504"/>
    <w:rsid w:val="31C3769D"/>
    <w:rsid w:val="31C633C4"/>
    <w:rsid w:val="31C72F21"/>
    <w:rsid w:val="31DB7F33"/>
    <w:rsid w:val="31DF0D86"/>
    <w:rsid w:val="31E06919"/>
    <w:rsid w:val="31E53BB4"/>
    <w:rsid w:val="31E6211A"/>
    <w:rsid w:val="31F63908"/>
    <w:rsid w:val="31F64D9F"/>
    <w:rsid w:val="31FC50B9"/>
    <w:rsid w:val="320D0184"/>
    <w:rsid w:val="320D335D"/>
    <w:rsid w:val="3214209C"/>
    <w:rsid w:val="32150862"/>
    <w:rsid w:val="32192B07"/>
    <w:rsid w:val="321A0D1F"/>
    <w:rsid w:val="32247AE0"/>
    <w:rsid w:val="322C727D"/>
    <w:rsid w:val="32340392"/>
    <w:rsid w:val="32406304"/>
    <w:rsid w:val="324B65C5"/>
    <w:rsid w:val="3251583D"/>
    <w:rsid w:val="325978A6"/>
    <w:rsid w:val="32617B2F"/>
    <w:rsid w:val="32692AD9"/>
    <w:rsid w:val="326A22B8"/>
    <w:rsid w:val="32724941"/>
    <w:rsid w:val="327E6B87"/>
    <w:rsid w:val="328000E2"/>
    <w:rsid w:val="32823784"/>
    <w:rsid w:val="32851F3D"/>
    <w:rsid w:val="328F5AB2"/>
    <w:rsid w:val="329E1508"/>
    <w:rsid w:val="32B84CCA"/>
    <w:rsid w:val="32BA170E"/>
    <w:rsid w:val="32BC58E1"/>
    <w:rsid w:val="32BF409B"/>
    <w:rsid w:val="32C702D5"/>
    <w:rsid w:val="32CC115E"/>
    <w:rsid w:val="32D30C44"/>
    <w:rsid w:val="32E21816"/>
    <w:rsid w:val="32F75C12"/>
    <w:rsid w:val="33000940"/>
    <w:rsid w:val="33082CF1"/>
    <w:rsid w:val="330A5BEA"/>
    <w:rsid w:val="330B1277"/>
    <w:rsid w:val="330F1D4C"/>
    <w:rsid w:val="330F3A53"/>
    <w:rsid w:val="331F2099"/>
    <w:rsid w:val="331F2394"/>
    <w:rsid w:val="332212A8"/>
    <w:rsid w:val="333A1557"/>
    <w:rsid w:val="33432066"/>
    <w:rsid w:val="33497052"/>
    <w:rsid w:val="334976F0"/>
    <w:rsid w:val="33574A95"/>
    <w:rsid w:val="336227E9"/>
    <w:rsid w:val="336F6FD0"/>
    <w:rsid w:val="337864FF"/>
    <w:rsid w:val="3380601F"/>
    <w:rsid w:val="33AE068B"/>
    <w:rsid w:val="33B510D7"/>
    <w:rsid w:val="33B557F3"/>
    <w:rsid w:val="33BC67AC"/>
    <w:rsid w:val="33CB619A"/>
    <w:rsid w:val="33DE4D37"/>
    <w:rsid w:val="33DF6E12"/>
    <w:rsid w:val="33E139F0"/>
    <w:rsid w:val="33EA08BF"/>
    <w:rsid w:val="33EB0AB7"/>
    <w:rsid w:val="33F15C61"/>
    <w:rsid w:val="33F3074D"/>
    <w:rsid w:val="33F82807"/>
    <w:rsid w:val="33F87589"/>
    <w:rsid w:val="340523E7"/>
    <w:rsid w:val="341D5936"/>
    <w:rsid w:val="34252A93"/>
    <w:rsid w:val="34261A77"/>
    <w:rsid w:val="34295E21"/>
    <w:rsid w:val="3434017C"/>
    <w:rsid w:val="3437155D"/>
    <w:rsid w:val="343C72B4"/>
    <w:rsid w:val="344F4D40"/>
    <w:rsid w:val="34514874"/>
    <w:rsid w:val="345A1403"/>
    <w:rsid w:val="345B01A3"/>
    <w:rsid w:val="34641486"/>
    <w:rsid w:val="34687470"/>
    <w:rsid w:val="34710C5F"/>
    <w:rsid w:val="347237CC"/>
    <w:rsid w:val="34764B2C"/>
    <w:rsid w:val="347C070F"/>
    <w:rsid w:val="347D0212"/>
    <w:rsid w:val="34875F47"/>
    <w:rsid w:val="348A19C9"/>
    <w:rsid w:val="349D2B3B"/>
    <w:rsid w:val="34A93C85"/>
    <w:rsid w:val="34AC3646"/>
    <w:rsid w:val="34B56056"/>
    <w:rsid w:val="34C747A5"/>
    <w:rsid w:val="34D44C91"/>
    <w:rsid w:val="34DB7A6E"/>
    <w:rsid w:val="34DD4296"/>
    <w:rsid w:val="34E43E58"/>
    <w:rsid w:val="34E96375"/>
    <w:rsid w:val="34EB2E4F"/>
    <w:rsid w:val="34ED3B7B"/>
    <w:rsid w:val="34F2277C"/>
    <w:rsid w:val="34F474C4"/>
    <w:rsid w:val="350047B4"/>
    <w:rsid w:val="35080956"/>
    <w:rsid w:val="35084CBD"/>
    <w:rsid w:val="350D3211"/>
    <w:rsid w:val="3517289D"/>
    <w:rsid w:val="35192204"/>
    <w:rsid w:val="35206166"/>
    <w:rsid w:val="35252ADE"/>
    <w:rsid w:val="3533270F"/>
    <w:rsid w:val="35475479"/>
    <w:rsid w:val="35490387"/>
    <w:rsid w:val="354C2305"/>
    <w:rsid w:val="35533918"/>
    <w:rsid w:val="355619F5"/>
    <w:rsid w:val="355B3892"/>
    <w:rsid w:val="356D6DE7"/>
    <w:rsid w:val="35817F97"/>
    <w:rsid w:val="35842988"/>
    <w:rsid w:val="35882C18"/>
    <w:rsid w:val="3592125E"/>
    <w:rsid w:val="35C13249"/>
    <w:rsid w:val="35C54B29"/>
    <w:rsid w:val="35CE7DDA"/>
    <w:rsid w:val="35CF4205"/>
    <w:rsid w:val="35D65032"/>
    <w:rsid w:val="35D868C5"/>
    <w:rsid w:val="35DC6040"/>
    <w:rsid w:val="35E103EB"/>
    <w:rsid w:val="35E753DF"/>
    <w:rsid w:val="35EC78E8"/>
    <w:rsid w:val="35F22FA4"/>
    <w:rsid w:val="35F406E3"/>
    <w:rsid w:val="35F52C11"/>
    <w:rsid w:val="36065143"/>
    <w:rsid w:val="360C6C69"/>
    <w:rsid w:val="3615731A"/>
    <w:rsid w:val="36170484"/>
    <w:rsid w:val="36225915"/>
    <w:rsid w:val="36243E8D"/>
    <w:rsid w:val="362A602C"/>
    <w:rsid w:val="362B0144"/>
    <w:rsid w:val="36341F72"/>
    <w:rsid w:val="36392716"/>
    <w:rsid w:val="363B7ADF"/>
    <w:rsid w:val="363D31B8"/>
    <w:rsid w:val="3643131E"/>
    <w:rsid w:val="364B63F4"/>
    <w:rsid w:val="365068FC"/>
    <w:rsid w:val="3656698A"/>
    <w:rsid w:val="366B257C"/>
    <w:rsid w:val="36736E86"/>
    <w:rsid w:val="36742579"/>
    <w:rsid w:val="36841D58"/>
    <w:rsid w:val="368475F8"/>
    <w:rsid w:val="36855285"/>
    <w:rsid w:val="368810D8"/>
    <w:rsid w:val="3690467B"/>
    <w:rsid w:val="369812B2"/>
    <w:rsid w:val="369F0C98"/>
    <w:rsid w:val="36A11480"/>
    <w:rsid w:val="36A550F9"/>
    <w:rsid w:val="36AA2D31"/>
    <w:rsid w:val="36B06D46"/>
    <w:rsid w:val="36B2056F"/>
    <w:rsid w:val="36BC119F"/>
    <w:rsid w:val="36BE6DD3"/>
    <w:rsid w:val="36DA2F15"/>
    <w:rsid w:val="36EF66A5"/>
    <w:rsid w:val="36FB1686"/>
    <w:rsid w:val="36FD5C25"/>
    <w:rsid w:val="37075245"/>
    <w:rsid w:val="370C7DC9"/>
    <w:rsid w:val="370E625E"/>
    <w:rsid w:val="37163DC8"/>
    <w:rsid w:val="37202573"/>
    <w:rsid w:val="37223D5D"/>
    <w:rsid w:val="37240218"/>
    <w:rsid w:val="37252A36"/>
    <w:rsid w:val="372B46E9"/>
    <w:rsid w:val="372D410F"/>
    <w:rsid w:val="372E5661"/>
    <w:rsid w:val="37306930"/>
    <w:rsid w:val="37313566"/>
    <w:rsid w:val="37322E56"/>
    <w:rsid w:val="3736613F"/>
    <w:rsid w:val="373D4D03"/>
    <w:rsid w:val="374068D4"/>
    <w:rsid w:val="374438CA"/>
    <w:rsid w:val="374578C2"/>
    <w:rsid w:val="37462789"/>
    <w:rsid w:val="37513134"/>
    <w:rsid w:val="375D1BC1"/>
    <w:rsid w:val="3770706E"/>
    <w:rsid w:val="377327B1"/>
    <w:rsid w:val="377A7F32"/>
    <w:rsid w:val="37807F00"/>
    <w:rsid w:val="37886E92"/>
    <w:rsid w:val="378C1074"/>
    <w:rsid w:val="378F190C"/>
    <w:rsid w:val="379834B2"/>
    <w:rsid w:val="37992DD9"/>
    <w:rsid w:val="379A1250"/>
    <w:rsid w:val="37A00C89"/>
    <w:rsid w:val="37A85878"/>
    <w:rsid w:val="37B6421D"/>
    <w:rsid w:val="37B73786"/>
    <w:rsid w:val="37BD2164"/>
    <w:rsid w:val="37C01F0F"/>
    <w:rsid w:val="37C11BAC"/>
    <w:rsid w:val="37CD7B40"/>
    <w:rsid w:val="37D5585D"/>
    <w:rsid w:val="37DB06A2"/>
    <w:rsid w:val="37E41754"/>
    <w:rsid w:val="37F72315"/>
    <w:rsid w:val="37F96AE5"/>
    <w:rsid w:val="37FA7C57"/>
    <w:rsid w:val="37FC4F38"/>
    <w:rsid w:val="37FE3436"/>
    <w:rsid w:val="38093F00"/>
    <w:rsid w:val="380A400C"/>
    <w:rsid w:val="381F1009"/>
    <w:rsid w:val="382C5898"/>
    <w:rsid w:val="38384B90"/>
    <w:rsid w:val="383D4F34"/>
    <w:rsid w:val="383E4AD6"/>
    <w:rsid w:val="384B6878"/>
    <w:rsid w:val="384B68EE"/>
    <w:rsid w:val="3851675D"/>
    <w:rsid w:val="38524DB7"/>
    <w:rsid w:val="3853777D"/>
    <w:rsid w:val="386274FF"/>
    <w:rsid w:val="3867512F"/>
    <w:rsid w:val="387A7B1A"/>
    <w:rsid w:val="387C5F1A"/>
    <w:rsid w:val="38816D60"/>
    <w:rsid w:val="38865662"/>
    <w:rsid w:val="388C1948"/>
    <w:rsid w:val="388F6589"/>
    <w:rsid w:val="38951891"/>
    <w:rsid w:val="38AA7366"/>
    <w:rsid w:val="38AB2994"/>
    <w:rsid w:val="38B96978"/>
    <w:rsid w:val="38BC7ED3"/>
    <w:rsid w:val="38BF075F"/>
    <w:rsid w:val="38BF3DF2"/>
    <w:rsid w:val="38C80637"/>
    <w:rsid w:val="38C91AF6"/>
    <w:rsid w:val="38D2319B"/>
    <w:rsid w:val="38D34A5C"/>
    <w:rsid w:val="38DE1CAE"/>
    <w:rsid w:val="38F44F98"/>
    <w:rsid w:val="3924793F"/>
    <w:rsid w:val="39251289"/>
    <w:rsid w:val="39273AA8"/>
    <w:rsid w:val="3927474F"/>
    <w:rsid w:val="3929168A"/>
    <w:rsid w:val="3929518F"/>
    <w:rsid w:val="392D26C8"/>
    <w:rsid w:val="39384716"/>
    <w:rsid w:val="394F6CCE"/>
    <w:rsid w:val="39541CAF"/>
    <w:rsid w:val="39567D71"/>
    <w:rsid w:val="39595A3F"/>
    <w:rsid w:val="395B210F"/>
    <w:rsid w:val="396416BE"/>
    <w:rsid w:val="39687CA8"/>
    <w:rsid w:val="396A47C0"/>
    <w:rsid w:val="39762551"/>
    <w:rsid w:val="397D0E81"/>
    <w:rsid w:val="397D6466"/>
    <w:rsid w:val="398045CC"/>
    <w:rsid w:val="398503C4"/>
    <w:rsid w:val="398F45A9"/>
    <w:rsid w:val="39974BA8"/>
    <w:rsid w:val="39A11EDD"/>
    <w:rsid w:val="39A21C87"/>
    <w:rsid w:val="39A43D4E"/>
    <w:rsid w:val="39A622C3"/>
    <w:rsid w:val="39BC48E0"/>
    <w:rsid w:val="39BF4CF8"/>
    <w:rsid w:val="39C6499E"/>
    <w:rsid w:val="39C84E5C"/>
    <w:rsid w:val="39CE3661"/>
    <w:rsid w:val="39CF47A4"/>
    <w:rsid w:val="39DD7E02"/>
    <w:rsid w:val="39E15673"/>
    <w:rsid w:val="39E25AEE"/>
    <w:rsid w:val="39E72100"/>
    <w:rsid w:val="39E97946"/>
    <w:rsid w:val="39EF41BE"/>
    <w:rsid w:val="39F22516"/>
    <w:rsid w:val="39F579E1"/>
    <w:rsid w:val="39F6176B"/>
    <w:rsid w:val="39F73CBC"/>
    <w:rsid w:val="39FB1742"/>
    <w:rsid w:val="39FD06AE"/>
    <w:rsid w:val="3A0238A9"/>
    <w:rsid w:val="3A145C1B"/>
    <w:rsid w:val="3A157A52"/>
    <w:rsid w:val="3A1A52B9"/>
    <w:rsid w:val="3A1B43D4"/>
    <w:rsid w:val="3A2E5E66"/>
    <w:rsid w:val="3A301809"/>
    <w:rsid w:val="3A390E93"/>
    <w:rsid w:val="3A3958C0"/>
    <w:rsid w:val="3A3A1BE2"/>
    <w:rsid w:val="3A3E0275"/>
    <w:rsid w:val="3A476411"/>
    <w:rsid w:val="3A487A18"/>
    <w:rsid w:val="3A531462"/>
    <w:rsid w:val="3A56113A"/>
    <w:rsid w:val="3A5C69E1"/>
    <w:rsid w:val="3A6004FA"/>
    <w:rsid w:val="3A6544F3"/>
    <w:rsid w:val="3A6A193E"/>
    <w:rsid w:val="3A7543B2"/>
    <w:rsid w:val="3A7D623A"/>
    <w:rsid w:val="3A880745"/>
    <w:rsid w:val="3A887923"/>
    <w:rsid w:val="3A972A72"/>
    <w:rsid w:val="3A9D1049"/>
    <w:rsid w:val="3AA364EE"/>
    <w:rsid w:val="3AA37B0C"/>
    <w:rsid w:val="3AA80249"/>
    <w:rsid w:val="3AA95BA1"/>
    <w:rsid w:val="3AAF4CC3"/>
    <w:rsid w:val="3AC200B6"/>
    <w:rsid w:val="3AC736A9"/>
    <w:rsid w:val="3ACA3322"/>
    <w:rsid w:val="3ACB16D8"/>
    <w:rsid w:val="3AD2239F"/>
    <w:rsid w:val="3AD278E7"/>
    <w:rsid w:val="3AD94226"/>
    <w:rsid w:val="3ADA51B2"/>
    <w:rsid w:val="3ADF2E8C"/>
    <w:rsid w:val="3AE847D7"/>
    <w:rsid w:val="3AEC6FE7"/>
    <w:rsid w:val="3AF61BCA"/>
    <w:rsid w:val="3B000F30"/>
    <w:rsid w:val="3B0328DA"/>
    <w:rsid w:val="3B05554C"/>
    <w:rsid w:val="3B0905B9"/>
    <w:rsid w:val="3B0C5A96"/>
    <w:rsid w:val="3B1F2530"/>
    <w:rsid w:val="3B23624E"/>
    <w:rsid w:val="3B2B2BAB"/>
    <w:rsid w:val="3B2C75B7"/>
    <w:rsid w:val="3B32486D"/>
    <w:rsid w:val="3B347BD1"/>
    <w:rsid w:val="3B3950FB"/>
    <w:rsid w:val="3B444812"/>
    <w:rsid w:val="3B46554E"/>
    <w:rsid w:val="3B567C86"/>
    <w:rsid w:val="3B5E5FE3"/>
    <w:rsid w:val="3B63594D"/>
    <w:rsid w:val="3B7218DD"/>
    <w:rsid w:val="3B750220"/>
    <w:rsid w:val="3B7512D8"/>
    <w:rsid w:val="3B7C5047"/>
    <w:rsid w:val="3B8B5784"/>
    <w:rsid w:val="3B8D6903"/>
    <w:rsid w:val="3B903144"/>
    <w:rsid w:val="3B906C8C"/>
    <w:rsid w:val="3B9E3446"/>
    <w:rsid w:val="3BA14EBD"/>
    <w:rsid w:val="3BA175E2"/>
    <w:rsid w:val="3BA30C4B"/>
    <w:rsid w:val="3BA74431"/>
    <w:rsid w:val="3BA76E28"/>
    <w:rsid w:val="3BC6052B"/>
    <w:rsid w:val="3BCF2E4F"/>
    <w:rsid w:val="3BD677F0"/>
    <w:rsid w:val="3BD745D5"/>
    <w:rsid w:val="3BD83187"/>
    <w:rsid w:val="3BEA1EE1"/>
    <w:rsid w:val="3BEC10EC"/>
    <w:rsid w:val="3BFC7A48"/>
    <w:rsid w:val="3C160A44"/>
    <w:rsid w:val="3C1B0790"/>
    <w:rsid w:val="3C222C68"/>
    <w:rsid w:val="3C241DAC"/>
    <w:rsid w:val="3C2679C3"/>
    <w:rsid w:val="3C2926A8"/>
    <w:rsid w:val="3C2E4962"/>
    <w:rsid w:val="3C3A3DF9"/>
    <w:rsid w:val="3C4C6230"/>
    <w:rsid w:val="3C4E7B02"/>
    <w:rsid w:val="3C543BA3"/>
    <w:rsid w:val="3C5A3DA1"/>
    <w:rsid w:val="3C5A6DE4"/>
    <w:rsid w:val="3C5C430E"/>
    <w:rsid w:val="3C650866"/>
    <w:rsid w:val="3C671AE7"/>
    <w:rsid w:val="3C6B57C0"/>
    <w:rsid w:val="3C6D1562"/>
    <w:rsid w:val="3C7055DE"/>
    <w:rsid w:val="3C7630C7"/>
    <w:rsid w:val="3C787156"/>
    <w:rsid w:val="3C7A68C4"/>
    <w:rsid w:val="3C8C2B5A"/>
    <w:rsid w:val="3C954275"/>
    <w:rsid w:val="3CA23108"/>
    <w:rsid w:val="3CA4207B"/>
    <w:rsid w:val="3CA93D82"/>
    <w:rsid w:val="3CAA5FC6"/>
    <w:rsid w:val="3CAC46A7"/>
    <w:rsid w:val="3CB15267"/>
    <w:rsid w:val="3CC157BA"/>
    <w:rsid w:val="3CC2748D"/>
    <w:rsid w:val="3CC52645"/>
    <w:rsid w:val="3CCB469D"/>
    <w:rsid w:val="3CCD2C6E"/>
    <w:rsid w:val="3CCE1F1C"/>
    <w:rsid w:val="3CDC69DA"/>
    <w:rsid w:val="3CE47FF5"/>
    <w:rsid w:val="3CEC508D"/>
    <w:rsid w:val="3CF30893"/>
    <w:rsid w:val="3CF35F36"/>
    <w:rsid w:val="3CF70E58"/>
    <w:rsid w:val="3CF97101"/>
    <w:rsid w:val="3CFC3CAC"/>
    <w:rsid w:val="3D073389"/>
    <w:rsid w:val="3D090ECE"/>
    <w:rsid w:val="3D0E222F"/>
    <w:rsid w:val="3D141654"/>
    <w:rsid w:val="3D1C58FA"/>
    <w:rsid w:val="3D2A2B88"/>
    <w:rsid w:val="3D351BE9"/>
    <w:rsid w:val="3D482438"/>
    <w:rsid w:val="3D5135CC"/>
    <w:rsid w:val="3D524D44"/>
    <w:rsid w:val="3D5D3EFD"/>
    <w:rsid w:val="3D621F64"/>
    <w:rsid w:val="3D680CAA"/>
    <w:rsid w:val="3D6E325A"/>
    <w:rsid w:val="3D723EC8"/>
    <w:rsid w:val="3D7528FA"/>
    <w:rsid w:val="3D8C57EA"/>
    <w:rsid w:val="3D8C5D9C"/>
    <w:rsid w:val="3D8E5117"/>
    <w:rsid w:val="3DA3381F"/>
    <w:rsid w:val="3DA83F34"/>
    <w:rsid w:val="3DA94514"/>
    <w:rsid w:val="3DAC6276"/>
    <w:rsid w:val="3DB266F7"/>
    <w:rsid w:val="3DB376A9"/>
    <w:rsid w:val="3DC325CB"/>
    <w:rsid w:val="3DD231EE"/>
    <w:rsid w:val="3DD31823"/>
    <w:rsid w:val="3DE10F27"/>
    <w:rsid w:val="3DE23B59"/>
    <w:rsid w:val="3DF05202"/>
    <w:rsid w:val="3DF076AF"/>
    <w:rsid w:val="3DF5258D"/>
    <w:rsid w:val="3DF719A3"/>
    <w:rsid w:val="3DF73C0A"/>
    <w:rsid w:val="3E006690"/>
    <w:rsid w:val="3E11166F"/>
    <w:rsid w:val="3E1269BE"/>
    <w:rsid w:val="3E1750AA"/>
    <w:rsid w:val="3E2144EA"/>
    <w:rsid w:val="3E2675E4"/>
    <w:rsid w:val="3E2762A2"/>
    <w:rsid w:val="3E2B384F"/>
    <w:rsid w:val="3E396B77"/>
    <w:rsid w:val="3E4D5872"/>
    <w:rsid w:val="3E4E2567"/>
    <w:rsid w:val="3E54098F"/>
    <w:rsid w:val="3E5A338A"/>
    <w:rsid w:val="3E5C78F1"/>
    <w:rsid w:val="3E6147D1"/>
    <w:rsid w:val="3E657249"/>
    <w:rsid w:val="3E6907D9"/>
    <w:rsid w:val="3E70073A"/>
    <w:rsid w:val="3E771A4B"/>
    <w:rsid w:val="3E836ACD"/>
    <w:rsid w:val="3E8544AA"/>
    <w:rsid w:val="3E876CFC"/>
    <w:rsid w:val="3E907C4D"/>
    <w:rsid w:val="3E911D11"/>
    <w:rsid w:val="3E9600F0"/>
    <w:rsid w:val="3E9F22EE"/>
    <w:rsid w:val="3EA37CAE"/>
    <w:rsid w:val="3EA61648"/>
    <w:rsid w:val="3EA75E05"/>
    <w:rsid w:val="3EA90237"/>
    <w:rsid w:val="3EA90983"/>
    <w:rsid w:val="3EBB53A8"/>
    <w:rsid w:val="3EC15FD9"/>
    <w:rsid w:val="3EC9174D"/>
    <w:rsid w:val="3EC970D7"/>
    <w:rsid w:val="3ECF69F0"/>
    <w:rsid w:val="3ED33353"/>
    <w:rsid w:val="3EDB705B"/>
    <w:rsid w:val="3EDC3232"/>
    <w:rsid w:val="3F041D2A"/>
    <w:rsid w:val="3F073F51"/>
    <w:rsid w:val="3F0C7DB1"/>
    <w:rsid w:val="3F0D2319"/>
    <w:rsid w:val="3F1062DF"/>
    <w:rsid w:val="3F162109"/>
    <w:rsid w:val="3F3148C0"/>
    <w:rsid w:val="3F3163FE"/>
    <w:rsid w:val="3F3F28F3"/>
    <w:rsid w:val="3F3F4F5F"/>
    <w:rsid w:val="3F467D02"/>
    <w:rsid w:val="3F52791F"/>
    <w:rsid w:val="3F580296"/>
    <w:rsid w:val="3F5F50F3"/>
    <w:rsid w:val="3F745AF4"/>
    <w:rsid w:val="3F7747F4"/>
    <w:rsid w:val="3F792DFB"/>
    <w:rsid w:val="3F7B2AF6"/>
    <w:rsid w:val="3F8460BF"/>
    <w:rsid w:val="3F880F51"/>
    <w:rsid w:val="3F8915A7"/>
    <w:rsid w:val="3F896AF5"/>
    <w:rsid w:val="3F9D10D2"/>
    <w:rsid w:val="3FA579DF"/>
    <w:rsid w:val="3FAC4DCA"/>
    <w:rsid w:val="3FAE7134"/>
    <w:rsid w:val="3FB7766F"/>
    <w:rsid w:val="3FBA09D2"/>
    <w:rsid w:val="3FC60D38"/>
    <w:rsid w:val="3FC805D1"/>
    <w:rsid w:val="3FC947B8"/>
    <w:rsid w:val="3FD160B8"/>
    <w:rsid w:val="3FDA5549"/>
    <w:rsid w:val="3FE26A79"/>
    <w:rsid w:val="3FE607C3"/>
    <w:rsid w:val="3FE83B7A"/>
    <w:rsid w:val="3FED36F5"/>
    <w:rsid w:val="3FF83D30"/>
    <w:rsid w:val="3FFC2AA5"/>
    <w:rsid w:val="401C3ABD"/>
    <w:rsid w:val="401C725F"/>
    <w:rsid w:val="40201B54"/>
    <w:rsid w:val="4032589F"/>
    <w:rsid w:val="40375735"/>
    <w:rsid w:val="403E3366"/>
    <w:rsid w:val="403F5B72"/>
    <w:rsid w:val="40445C74"/>
    <w:rsid w:val="40465C66"/>
    <w:rsid w:val="404D6A2F"/>
    <w:rsid w:val="405046F6"/>
    <w:rsid w:val="40520082"/>
    <w:rsid w:val="405C0DAF"/>
    <w:rsid w:val="405C3A88"/>
    <w:rsid w:val="405D784D"/>
    <w:rsid w:val="406A3226"/>
    <w:rsid w:val="406B1626"/>
    <w:rsid w:val="406D742B"/>
    <w:rsid w:val="407C0B0D"/>
    <w:rsid w:val="407E070D"/>
    <w:rsid w:val="40810E5C"/>
    <w:rsid w:val="40823C1B"/>
    <w:rsid w:val="408F017E"/>
    <w:rsid w:val="40986D26"/>
    <w:rsid w:val="40A55BD4"/>
    <w:rsid w:val="40AB2A0D"/>
    <w:rsid w:val="40B1508A"/>
    <w:rsid w:val="40B44A2A"/>
    <w:rsid w:val="40B70A4A"/>
    <w:rsid w:val="40CB7A16"/>
    <w:rsid w:val="40D82A68"/>
    <w:rsid w:val="40E57868"/>
    <w:rsid w:val="40E64C12"/>
    <w:rsid w:val="40E83F9E"/>
    <w:rsid w:val="40F41FB6"/>
    <w:rsid w:val="40F652B8"/>
    <w:rsid w:val="40FE007C"/>
    <w:rsid w:val="410E5354"/>
    <w:rsid w:val="411F149C"/>
    <w:rsid w:val="4123336A"/>
    <w:rsid w:val="412417FB"/>
    <w:rsid w:val="41243B49"/>
    <w:rsid w:val="41273D52"/>
    <w:rsid w:val="4128285C"/>
    <w:rsid w:val="413114CC"/>
    <w:rsid w:val="413644A1"/>
    <w:rsid w:val="413A7FCC"/>
    <w:rsid w:val="413C3AEC"/>
    <w:rsid w:val="41440632"/>
    <w:rsid w:val="41487227"/>
    <w:rsid w:val="414B55AD"/>
    <w:rsid w:val="414E24ED"/>
    <w:rsid w:val="414F1A33"/>
    <w:rsid w:val="4151697D"/>
    <w:rsid w:val="41591BF8"/>
    <w:rsid w:val="415C5773"/>
    <w:rsid w:val="415D2CCE"/>
    <w:rsid w:val="41620BBB"/>
    <w:rsid w:val="4167440A"/>
    <w:rsid w:val="416C16FD"/>
    <w:rsid w:val="41780B25"/>
    <w:rsid w:val="41797F05"/>
    <w:rsid w:val="417C2EC0"/>
    <w:rsid w:val="417E5E5C"/>
    <w:rsid w:val="4185418E"/>
    <w:rsid w:val="419626BF"/>
    <w:rsid w:val="41970366"/>
    <w:rsid w:val="419A16EC"/>
    <w:rsid w:val="41A254B8"/>
    <w:rsid w:val="41AD4CF2"/>
    <w:rsid w:val="41AF4BEC"/>
    <w:rsid w:val="41C74156"/>
    <w:rsid w:val="41C75CFC"/>
    <w:rsid w:val="41CF235A"/>
    <w:rsid w:val="41E40E0E"/>
    <w:rsid w:val="41E73585"/>
    <w:rsid w:val="41E932E2"/>
    <w:rsid w:val="41F1215E"/>
    <w:rsid w:val="41F443CF"/>
    <w:rsid w:val="41FC42D7"/>
    <w:rsid w:val="42022A46"/>
    <w:rsid w:val="42073C96"/>
    <w:rsid w:val="42081BF3"/>
    <w:rsid w:val="420F130D"/>
    <w:rsid w:val="421046C4"/>
    <w:rsid w:val="42132E12"/>
    <w:rsid w:val="421565A5"/>
    <w:rsid w:val="42170EE4"/>
    <w:rsid w:val="421B307D"/>
    <w:rsid w:val="421B7E57"/>
    <w:rsid w:val="42285D38"/>
    <w:rsid w:val="42385105"/>
    <w:rsid w:val="4241303B"/>
    <w:rsid w:val="424324F1"/>
    <w:rsid w:val="424569AD"/>
    <w:rsid w:val="425441CC"/>
    <w:rsid w:val="425C181F"/>
    <w:rsid w:val="42612828"/>
    <w:rsid w:val="42651BF4"/>
    <w:rsid w:val="4270792D"/>
    <w:rsid w:val="427112FC"/>
    <w:rsid w:val="427351A5"/>
    <w:rsid w:val="427B5256"/>
    <w:rsid w:val="428F0B69"/>
    <w:rsid w:val="4297697F"/>
    <w:rsid w:val="42986FD5"/>
    <w:rsid w:val="42A252F7"/>
    <w:rsid w:val="42A3332F"/>
    <w:rsid w:val="42A56CC2"/>
    <w:rsid w:val="42AC6CB4"/>
    <w:rsid w:val="42AD19BB"/>
    <w:rsid w:val="42B37941"/>
    <w:rsid w:val="42C06EE2"/>
    <w:rsid w:val="42CA7845"/>
    <w:rsid w:val="42CA7FEE"/>
    <w:rsid w:val="42D01C02"/>
    <w:rsid w:val="42E20FEF"/>
    <w:rsid w:val="42E32780"/>
    <w:rsid w:val="42E9410B"/>
    <w:rsid w:val="42F65F27"/>
    <w:rsid w:val="42F67B3B"/>
    <w:rsid w:val="42FA37BF"/>
    <w:rsid w:val="42FB5B75"/>
    <w:rsid w:val="430E47CA"/>
    <w:rsid w:val="430F34E5"/>
    <w:rsid w:val="43122BE9"/>
    <w:rsid w:val="43177028"/>
    <w:rsid w:val="431E4655"/>
    <w:rsid w:val="43242777"/>
    <w:rsid w:val="43276069"/>
    <w:rsid w:val="432F5006"/>
    <w:rsid w:val="4332528E"/>
    <w:rsid w:val="433620E0"/>
    <w:rsid w:val="43367FAD"/>
    <w:rsid w:val="433E174A"/>
    <w:rsid w:val="434560D3"/>
    <w:rsid w:val="43465533"/>
    <w:rsid w:val="434B3380"/>
    <w:rsid w:val="434D0E96"/>
    <w:rsid w:val="43591836"/>
    <w:rsid w:val="436018BC"/>
    <w:rsid w:val="436E37FA"/>
    <w:rsid w:val="43733193"/>
    <w:rsid w:val="43742BCD"/>
    <w:rsid w:val="438733C5"/>
    <w:rsid w:val="438F0661"/>
    <w:rsid w:val="43932580"/>
    <w:rsid w:val="43952A88"/>
    <w:rsid w:val="439D36EE"/>
    <w:rsid w:val="439E79B3"/>
    <w:rsid w:val="43A16F42"/>
    <w:rsid w:val="43A80A3A"/>
    <w:rsid w:val="43B13B5E"/>
    <w:rsid w:val="43B51DE8"/>
    <w:rsid w:val="43BD51D9"/>
    <w:rsid w:val="43C34246"/>
    <w:rsid w:val="43D41B7D"/>
    <w:rsid w:val="43D84B3E"/>
    <w:rsid w:val="43D87830"/>
    <w:rsid w:val="43E326E2"/>
    <w:rsid w:val="43ED0F3B"/>
    <w:rsid w:val="43FC39C9"/>
    <w:rsid w:val="4401629A"/>
    <w:rsid w:val="440977D7"/>
    <w:rsid w:val="441005CE"/>
    <w:rsid w:val="4419724C"/>
    <w:rsid w:val="441E7659"/>
    <w:rsid w:val="44241BDC"/>
    <w:rsid w:val="442658C0"/>
    <w:rsid w:val="442809DE"/>
    <w:rsid w:val="443241CD"/>
    <w:rsid w:val="44357CA1"/>
    <w:rsid w:val="44375F65"/>
    <w:rsid w:val="443E1160"/>
    <w:rsid w:val="444510C3"/>
    <w:rsid w:val="4445780C"/>
    <w:rsid w:val="444B710E"/>
    <w:rsid w:val="445B4143"/>
    <w:rsid w:val="445B504D"/>
    <w:rsid w:val="445B63C8"/>
    <w:rsid w:val="445F1444"/>
    <w:rsid w:val="44607C87"/>
    <w:rsid w:val="447C561B"/>
    <w:rsid w:val="447E02A6"/>
    <w:rsid w:val="447F6C7F"/>
    <w:rsid w:val="44815B57"/>
    <w:rsid w:val="44833463"/>
    <w:rsid w:val="44892C0E"/>
    <w:rsid w:val="448A4443"/>
    <w:rsid w:val="448D5E3C"/>
    <w:rsid w:val="449A38E1"/>
    <w:rsid w:val="44A67498"/>
    <w:rsid w:val="44AB0CFB"/>
    <w:rsid w:val="44B41BA1"/>
    <w:rsid w:val="44BA5B4D"/>
    <w:rsid w:val="44C23252"/>
    <w:rsid w:val="44C8195C"/>
    <w:rsid w:val="44CD1AC4"/>
    <w:rsid w:val="44DB41DB"/>
    <w:rsid w:val="44DC643A"/>
    <w:rsid w:val="44F23626"/>
    <w:rsid w:val="44F95C5E"/>
    <w:rsid w:val="45020857"/>
    <w:rsid w:val="45053CF8"/>
    <w:rsid w:val="450669CC"/>
    <w:rsid w:val="45082D5C"/>
    <w:rsid w:val="4508470B"/>
    <w:rsid w:val="451A4990"/>
    <w:rsid w:val="4523118D"/>
    <w:rsid w:val="4528159A"/>
    <w:rsid w:val="453250EF"/>
    <w:rsid w:val="45423F80"/>
    <w:rsid w:val="454364A5"/>
    <w:rsid w:val="45481ED7"/>
    <w:rsid w:val="45542BB1"/>
    <w:rsid w:val="45546636"/>
    <w:rsid w:val="455966AF"/>
    <w:rsid w:val="455A590B"/>
    <w:rsid w:val="455B3814"/>
    <w:rsid w:val="45630EF4"/>
    <w:rsid w:val="45694D19"/>
    <w:rsid w:val="4578145F"/>
    <w:rsid w:val="45814ADD"/>
    <w:rsid w:val="45847BF8"/>
    <w:rsid w:val="458E4E65"/>
    <w:rsid w:val="45907B4F"/>
    <w:rsid w:val="4591228D"/>
    <w:rsid w:val="45986C9E"/>
    <w:rsid w:val="459E2103"/>
    <w:rsid w:val="459F7A00"/>
    <w:rsid w:val="45A04FE1"/>
    <w:rsid w:val="45A125F1"/>
    <w:rsid w:val="45A935E5"/>
    <w:rsid w:val="45AC730F"/>
    <w:rsid w:val="45AE1CA6"/>
    <w:rsid w:val="45B24247"/>
    <w:rsid w:val="45B33FE9"/>
    <w:rsid w:val="45B46F41"/>
    <w:rsid w:val="45B6230F"/>
    <w:rsid w:val="45B70171"/>
    <w:rsid w:val="45BA47A4"/>
    <w:rsid w:val="45CF2B1F"/>
    <w:rsid w:val="45D33F5D"/>
    <w:rsid w:val="45E23A7D"/>
    <w:rsid w:val="45E8004D"/>
    <w:rsid w:val="45EF7440"/>
    <w:rsid w:val="45F15B65"/>
    <w:rsid w:val="46145BF9"/>
    <w:rsid w:val="46224518"/>
    <w:rsid w:val="462A387B"/>
    <w:rsid w:val="46333CFB"/>
    <w:rsid w:val="46375401"/>
    <w:rsid w:val="463C4F08"/>
    <w:rsid w:val="463E4A43"/>
    <w:rsid w:val="46424AE7"/>
    <w:rsid w:val="46453183"/>
    <w:rsid w:val="4648301C"/>
    <w:rsid w:val="464F5D5F"/>
    <w:rsid w:val="46536FE2"/>
    <w:rsid w:val="465D7F17"/>
    <w:rsid w:val="466E23B2"/>
    <w:rsid w:val="46767031"/>
    <w:rsid w:val="4678671A"/>
    <w:rsid w:val="467A7A7B"/>
    <w:rsid w:val="467E4CA9"/>
    <w:rsid w:val="46844B09"/>
    <w:rsid w:val="46883EEF"/>
    <w:rsid w:val="46902938"/>
    <w:rsid w:val="46930DEC"/>
    <w:rsid w:val="46932AF9"/>
    <w:rsid w:val="469E26FB"/>
    <w:rsid w:val="469F2555"/>
    <w:rsid w:val="46A44183"/>
    <w:rsid w:val="46BA2404"/>
    <w:rsid w:val="46C0186C"/>
    <w:rsid w:val="46C17A17"/>
    <w:rsid w:val="46CC365C"/>
    <w:rsid w:val="46D47473"/>
    <w:rsid w:val="46D814DC"/>
    <w:rsid w:val="46D87922"/>
    <w:rsid w:val="46D87FA9"/>
    <w:rsid w:val="46ED6013"/>
    <w:rsid w:val="46FF4B9F"/>
    <w:rsid w:val="470536DD"/>
    <w:rsid w:val="47094294"/>
    <w:rsid w:val="47096BA5"/>
    <w:rsid w:val="470F71FC"/>
    <w:rsid w:val="47126258"/>
    <w:rsid w:val="471A6AAA"/>
    <w:rsid w:val="472231EB"/>
    <w:rsid w:val="472D3F1D"/>
    <w:rsid w:val="474B0AD4"/>
    <w:rsid w:val="47510CFF"/>
    <w:rsid w:val="47556577"/>
    <w:rsid w:val="47602DAB"/>
    <w:rsid w:val="47774C10"/>
    <w:rsid w:val="477C2A80"/>
    <w:rsid w:val="477D0B35"/>
    <w:rsid w:val="478126BE"/>
    <w:rsid w:val="47962D03"/>
    <w:rsid w:val="479A3F03"/>
    <w:rsid w:val="479A5FFF"/>
    <w:rsid w:val="47A02F92"/>
    <w:rsid w:val="47A902DE"/>
    <w:rsid w:val="47B50F27"/>
    <w:rsid w:val="47C50F24"/>
    <w:rsid w:val="47CF4FF9"/>
    <w:rsid w:val="47D43685"/>
    <w:rsid w:val="47DC637C"/>
    <w:rsid w:val="47DD2865"/>
    <w:rsid w:val="47E018C2"/>
    <w:rsid w:val="47E60F93"/>
    <w:rsid w:val="47EC368B"/>
    <w:rsid w:val="47ED27D1"/>
    <w:rsid w:val="47EE1775"/>
    <w:rsid w:val="47EF1882"/>
    <w:rsid w:val="47F00B54"/>
    <w:rsid w:val="47F54D2F"/>
    <w:rsid w:val="4800306E"/>
    <w:rsid w:val="480C19DD"/>
    <w:rsid w:val="480E2627"/>
    <w:rsid w:val="480E2DD9"/>
    <w:rsid w:val="481D032F"/>
    <w:rsid w:val="4820634F"/>
    <w:rsid w:val="48243270"/>
    <w:rsid w:val="482F28F7"/>
    <w:rsid w:val="483045D2"/>
    <w:rsid w:val="4834466D"/>
    <w:rsid w:val="48354EB6"/>
    <w:rsid w:val="48363596"/>
    <w:rsid w:val="48410653"/>
    <w:rsid w:val="484A12AD"/>
    <w:rsid w:val="484F1B8C"/>
    <w:rsid w:val="48516619"/>
    <w:rsid w:val="48517220"/>
    <w:rsid w:val="48520243"/>
    <w:rsid w:val="48562DF7"/>
    <w:rsid w:val="485B61FE"/>
    <w:rsid w:val="485C54A1"/>
    <w:rsid w:val="4867675E"/>
    <w:rsid w:val="4883051B"/>
    <w:rsid w:val="488B30A3"/>
    <w:rsid w:val="488E7BC1"/>
    <w:rsid w:val="488F1CE4"/>
    <w:rsid w:val="489A0BDB"/>
    <w:rsid w:val="48A922A8"/>
    <w:rsid w:val="48AA0437"/>
    <w:rsid w:val="48B060D2"/>
    <w:rsid w:val="48B30B0E"/>
    <w:rsid w:val="48B86F5D"/>
    <w:rsid w:val="48BF0169"/>
    <w:rsid w:val="48CE0E51"/>
    <w:rsid w:val="48DA713E"/>
    <w:rsid w:val="48EA5106"/>
    <w:rsid w:val="48EC2E8E"/>
    <w:rsid w:val="48ED0159"/>
    <w:rsid w:val="48F5501D"/>
    <w:rsid w:val="48FA2D3E"/>
    <w:rsid w:val="490640EF"/>
    <w:rsid w:val="49134FC4"/>
    <w:rsid w:val="49226F4A"/>
    <w:rsid w:val="49271087"/>
    <w:rsid w:val="492C58EA"/>
    <w:rsid w:val="49403448"/>
    <w:rsid w:val="49427114"/>
    <w:rsid w:val="4945599B"/>
    <w:rsid w:val="49457825"/>
    <w:rsid w:val="49546DF6"/>
    <w:rsid w:val="495C37B6"/>
    <w:rsid w:val="49676523"/>
    <w:rsid w:val="496A3A6E"/>
    <w:rsid w:val="496A55BC"/>
    <w:rsid w:val="496F2A59"/>
    <w:rsid w:val="4975253E"/>
    <w:rsid w:val="49811A79"/>
    <w:rsid w:val="498459E4"/>
    <w:rsid w:val="498807A1"/>
    <w:rsid w:val="49892D84"/>
    <w:rsid w:val="498D7AD9"/>
    <w:rsid w:val="49934F87"/>
    <w:rsid w:val="49952C98"/>
    <w:rsid w:val="49A341C3"/>
    <w:rsid w:val="49A73133"/>
    <w:rsid w:val="49B64188"/>
    <w:rsid w:val="49BE761A"/>
    <w:rsid w:val="49C04F6B"/>
    <w:rsid w:val="49C532AD"/>
    <w:rsid w:val="49CF3F16"/>
    <w:rsid w:val="49D25543"/>
    <w:rsid w:val="49DA7E98"/>
    <w:rsid w:val="49DF27C4"/>
    <w:rsid w:val="49E0683C"/>
    <w:rsid w:val="49E77390"/>
    <w:rsid w:val="49E82408"/>
    <w:rsid w:val="49E91B2B"/>
    <w:rsid w:val="49E94B47"/>
    <w:rsid w:val="4A0676F3"/>
    <w:rsid w:val="4A0A7D17"/>
    <w:rsid w:val="4A100275"/>
    <w:rsid w:val="4A193890"/>
    <w:rsid w:val="4A2E2AB4"/>
    <w:rsid w:val="4A3725C6"/>
    <w:rsid w:val="4A3F2C11"/>
    <w:rsid w:val="4A4401E6"/>
    <w:rsid w:val="4A467C36"/>
    <w:rsid w:val="4A5B1FA8"/>
    <w:rsid w:val="4A607B21"/>
    <w:rsid w:val="4A6132B8"/>
    <w:rsid w:val="4A63124D"/>
    <w:rsid w:val="4A692AD3"/>
    <w:rsid w:val="4A6F0E0E"/>
    <w:rsid w:val="4A7359FF"/>
    <w:rsid w:val="4A7609D2"/>
    <w:rsid w:val="4A78131B"/>
    <w:rsid w:val="4A796418"/>
    <w:rsid w:val="4A7B52DC"/>
    <w:rsid w:val="4A7F6E1B"/>
    <w:rsid w:val="4A9A68A2"/>
    <w:rsid w:val="4A9B091C"/>
    <w:rsid w:val="4A9C7404"/>
    <w:rsid w:val="4AA31F85"/>
    <w:rsid w:val="4AAD3D2B"/>
    <w:rsid w:val="4AC051A8"/>
    <w:rsid w:val="4AC47310"/>
    <w:rsid w:val="4AC75203"/>
    <w:rsid w:val="4AD92BBB"/>
    <w:rsid w:val="4AD94E73"/>
    <w:rsid w:val="4AD94FA9"/>
    <w:rsid w:val="4ADD694A"/>
    <w:rsid w:val="4AE349FA"/>
    <w:rsid w:val="4AE74DAF"/>
    <w:rsid w:val="4AF24711"/>
    <w:rsid w:val="4AF57295"/>
    <w:rsid w:val="4B061F20"/>
    <w:rsid w:val="4B083429"/>
    <w:rsid w:val="4B0B4825"/>
    <w:rsid w:val="4B193491"/>
    <w:rsid w:val="4B1D15BC"/>
    <w:rsid w:val="4B29392F"/>
    <w:rsid w:val="4B2B7FC2"/>
    <w:rsid w:val="4B310599"/>
    <w:rsid w:val="4B384194"/>
    <w:rsid w:val="4B3845BF"/>
    <w:rsid w:val="4B4919E9"/>
    <w:rsid w:val="4B4D5D6C"/>
    <w:rsid w:val="4B4F227A"/>
    <w:rsid w:val="4B53696B"/>
    <w:rsid w:val="4B6A7E99"/>
    <w:rsid w:val="4B704478"/>
    <w:rsid w:val="4B7400DF"/>
    <w:rsid w:val="4B7C6F07"/>
    <w:rsid w:val="4B7D3F03"/>
    <w:rsid w:val="4B7D4D30"/>
    <w:rsid w:val="4B7E313B"/>
    <w:rsid w:val="4B835141"/>
    <w:rsid w:val="4B915835"/>
    <w:rsid w:val="4B92450D"/>
    <w:rsid w:val="4B997902"/>
    <w:rsid w:val="4BA9255A"/>
    <w:rsid w:val="4BB0286F"/>
    <w:rsid w:val="4BB85BE0"/>
    <w:rsid w:val="4BBC6BF7"/>
    <w:rsid w:val="4BC112A9"/>
    <w:rsid w:val="4BC17413"/>
    <w:rsid w:val="4BC35552"/>
    <w:rsid w:val="4BCF5907"/>
    <w:rsid w:val="4BD438FB"/>
    <w:rsid w:val="4BDA3907"/>
    <w:rsid w:val="4BDE402E"/>
    <w:rsid w:val="4BDE4539"/>
    <w:rsid w:val="4BE67067"/>
    <w:rsid w:val="4BEB3E28"/>
    <w:rsid w:val="4BF30AF7"/>
    <w:rsid w:val="4C00075F"/>
    <w:rsid w:val="4C0340D0"/>
    <w:rsid w:val="4C140A93"/>
    <w:rsid w:val="4C171760"/>
    <w:rsid w:val="4C1A2F05"/>
    <w:rsid w:val="4C1A4F53"/>
    <w:rsid w:val="4C1C400C"/>
    <w:rsid w:val="4C266570"/>
    <w:rsid w:val="4C2F0356"/>
    <w:rsid w:val="4C301751"/>
    <w:rsid w:val="4C3F6EAA"/>
    <w:rsid w:val="4C456D42"/>
    <w:rsid w:val="4C4C3AD5"/>
    <w:rsid w:val="4C504188"/>
    <w:rsid w:val="4C510540"/>
    <w:rsid w:val="4C546DB5"/>
    <w:rsid w:val="4C592998"/>
    <w:rsid w:val="4C5A2382"/>
    <w:rsid w:val="4C5F7DE3"/>
    <w:rsid w:val="4C6628FC"/>
    <w:rsid w:val="4C6B63B3"/>
    <w:rsid w:val="4C6F54BD"/>
    <w:rsid w:val="4C7830AC"/>
    <w:rsid w:val="4C9122F0"/>
    <w:rsid w:val="4C964AE8"/>
    <w:rsid w:val="4C977FD4"/>
    <w:rsid w:val="4C993044"/>
    <w:rsid w:val="4CA06BD6"/>
    <w:rsid w:val="4CAC486C"/>
    <w:rsid w:val="4CC14497"/>
    <w:rsid w:val="4CC2173E"/>
    <w:rsid w:val="4CC34937"/>
    <w:rsid w:val="4CC53C5A"/>
    <w:rsid w:val="4CCE0E44"/>
    <w:rsid w:val="4CD84D43"/>
    <w:rsid w:val="4CD8608C"/>
    <w:rsid w:val="4CF24D60"/>
    <w:rsid w:val="4CF33F73"/>
    <w:rsid w:val="4CF9475F"/>
    <w:rsid w:val="4CFA2FB8"/>
    <w:rsid w:val="4CFD39C6"/>
    <w:rsid w:val="4D001F4B"/>
    <w:rsid w:val="4D0A6391"/>
    <w:rsid w:val="4D1066F1"/>
    <w:rsid w:val="4D177FD6"/>
    <w:rsid w:val="4D1F3596"/>
    <w:rsid w:val="4D1F74E0"/>
    <w:rsid w:val="4D2558C6"/>
    <w:rsid w:val="4D263609"/>
    <w:rsid w:val="4D28786F"/>
    <w:rsid w:val="4D2B4926"/>
    <w:rsid w:val="4D340004"/>
    <w:rsid w:val="4D374202"/>
    <w:rsid w:val="4D3A63E2"/>
    <w:rsid w:val="4D3D6A83"/>
    <w:rsid w:val="4D3E6550"/>
    <w:rsid w:val="4D3F1B9B"/>
    <w:rsid w:val="4D4C4934"/>
    <w:rsid w:val="4D543D62"/>
    <w:rsid w:val="4D587D08"/>
    <w:rsid w:val="4D5F414B"/>
    <w:rsid w:val="4D60616D"/>
    <w:rsid w:val="4D684803"/>
    <w:rsid w:val="4D6D379E"/>
    <w:rsid w:val="4D6F7124"/>
    <w:rsid w:val="4D7714D1"/>
    <w:rsid w:val="4D854A3D"/>
    <w:rsid w:val="4D95765F"/>
    <w:rsid w:val="4DA36994"/>
    <w:rsid w:val="4DAF6671"/>
    <w:rsid w:val="4DB72646"/>
    <w:rsid w:val="4DC04BC1"/>
    <w:rsid w:val="4DC32DAE"/>
    <w:rsid w:val="4DC76961"/>
    <w:rsid w:val="4DCE5315"/>
    <w:rsid w:val="4DD96D55"/>
    <w:rsid w:val="4DDA7DA3"/>
    <w:rsid w:val="4DDB6CD2"/>
    <w:rsid w:val="4DED2288"/>
    <w:rsid w:val="4E0636C9"/>
    <w:rsid w:val="4E076A36"/>
    <w:rsid w:val="4E104014"/>
    <w:rsid w:val="4E106372"/>
    <w:rsid w:val="4E214855"/>
    <w:rsid w:val="4E297A5C"/>
    <w:rsid w:val="4E4031F3"/>
    <w:rsid w:val="4E4A6805"/>
    <w:rsid w:val="4E555AC7"/>
    <w:rsid w:val="4E563E4D"/>
    <w:rsid w:val="4E581F11"/>
    <w:rsid w:val="4E5A1141"/>
    <w:rsid w:val="4E5C71CE"/>
    <w:rsid w:val="4E5D3057"/>
    <w:rsid w:val="4E5E5EA7"/>
    <w:rsid w:val="4E6362CA"/>
    <w:rsid w:val="4E6853B7"/>
    <w:rsid w:val="4E7819A1"/>
    <w:rsid w:val="4E7D6D63"/>
    <w:rsid w:val="4E823EC9"/>
    <w:rsid w:val="4E8400C6"/>
    <w:rsid w:val="4E8842F4"/>
    <w:rsid w:val="4E8B398B"/>
    <w:rsid w:val="4E943D77"/>
    <w:rsid w:val="4E9F3CF9"/>
    <w:rsid w:val="4EA30E8C"/>
    <w:rsid w:val="4EA35977"/>
    <w:rsid w:val="4EA94281"/>
    <w:rsid w:val="4EA95311"/>
    <w:rsid w:val="4EAF5532"/>
    <w:rsid w:val="4EBC0DB3"/>
    <w:rsid w:val="4EC11CBB"/>
    <w:rsid w:val="4ED21F25"/>
    <w:rsid w:val="4ED7169D"/>
    <w:rsid w:val="4EE34255"/>
    <w:rsid w:val="4EF07F8A"/>
    <w:rsid w:val="4EF91A4A"/>
    <w:rsid w:val="4EFC0347"/>
    <w:rsid w:val="4F026E35"/>
    <w:rsid w:val="4F04438F"/>
    <w:rsid w:val="4F0A2FF6"/>
    <w:rsid w:val="4F0F69E6"/>
    <w:rsid w:val="4F140581"/>
    <w:rsid w:val="4F14649E"/>
    <w:rsid w:val="4F165F63"/>
    <w:rsid w:val="4F1D735C"/>
    <w:rsid w:val="4F215958"/>
    <w:rsid w:val="4F21770C"/>
    <w:rsid w:val="4F235BEF"/>
    <w:rsid w:val="4F236715"/>
    <w:rsid w:val="4F2A1A4D"/>
    <w:rsid w:val="4F3D1664"/>
    <w:rsid w:val="4F4B658E"/>
    <w:rsid w:val="4F5E553A"/>
    <w:rsid w:val="4F7017DA"/>
    <w:rsid w:val="4F7116E5"/>
    <w:rsid w:val="4F7E123B"/>
    <w:rsid w:val="4F7E2BA9"/>
    <w:rsid w:val="4F7F4B74"/>
    <w:rsid w:val="4F816A41"/>
    <w:rsid w:val="4F84679A"/>
    <w:rsid w:val="4F877A53"/>
    <w:rsid w:val="4F9961BE"/>
    <w:rsid w:val="4F9D55BB"/>
    <w:rsid w:val="4FA544C4"/>
    <w:rsid w:val="4FA776DC"/>
    <w:rsid w:val="4FA95C20"/>
    <w:rsid w:val="4FBF0D30"/>
    <w:rsid w:val="4FBF536B"/>
    <w:rsid w:val="4FC44914"/>
    <w:rsid w:val="4FCB2547"/>
    <w:rsid w:val="4FE253E9"/>
    <w:rsid w:val="4FF307AA"/>
    <w:rsid w:val="4FF50089"/>
    <w:rsid w:val="4FF62FE3"/>
    <w:rsid w:val="50000FA8"/>
    <w:rsid w:val="50011576"/>
    <w:rsid w:val="50075A8C"/>
    <w:rsid w:val="500D10F4"/>
    <w:rsid w:val="500F5D1D"/>
    <w:rsid w:val="50116E26"/>
    <w:rsid w:val="50144D08"/>
    <w:rsid w:val="50165E00"/>
    <w:rsid w:val="502221F1"/>
    <w:rsid w:val="502556B3"/>
    <w:rsid w:val="502835FD"/>
    <w:rsid w:val="502A1376"/>
    <w:rsid w:val="50353D69"/>
    <w:rsid w:val="503651AF"/>
    <w:rsid w:val="503C0139"/>
    <w:rsid w:val="50401B56"/>
    <w:rsid w:val="50452700"/>
    <w:rsid w:val="504C160F"/>
    <w:rsid w:val="504F3115"/>
    <w:rsid w:val="50531514"/>
    <w:rsid w:val="50630138"/>
    <w:rsid w:val="50632A64"/>
    <w:rsid w:val="50747E74"/>
    <w:rsid w:val="50894772"/>
    <w:rsid w:val="50B37480"/>
    <w:rsid w:val="50B43FF8"/>
    <w:rsid w:val="50C86EBB"/>
    <w:rsid w:val="50CD014A"/>
    <w:rsid w:val="50D816E1"/>
    <w:rsid w:val="50D8770A"/>
    <w:rsid w:val="50E17A82"/>
    <w:rsid w:val="50ED7802"/>
    <w:rsid w:val="50EF2257"/>
    <w:rsid w:val="50EF2379"/>
    <w:rsid w:val="50F30277"/>
    <w:rsid w:val="50FA63BD"/>
    <w:rsid w:val="51175E8C"/>
    <w:rsid w:val="511D3CBC"/>
    <w:rsid w:val="511E073D"/>
    <w:rsid w:val="51245B4A"/>
    <w:rsid w:val="512871B1"/>
    <w:rsid w:val="51332CE8"/>
    <w:rsid w:val="51343F06"/>
    <w:rsid w:val="51396C02"/>
    <w:rsid w:val="513A137F"/>
    <w:rsid w:val="51491184"/>
    <w:rsid w:val="514E7029"/>
    <w:rsid w:val="515A703F"/>
    <w:rsid w:val="515F2972"/>
    <w:rsid w:val="51645AAC"/>
    <w:rsid w:val="516741EA"/>
    <w:rsid w:val="51674AD7"/>
    <w:rsid w:val="51756206"/>
    <w:rsid w:val="517737CF"/>
    <w:rsid w:val="518105D6"/>
    <w:rsid w:val="518A44B2"/>
    <w:rsid w:val="518D735A"/>
    <w:rsid w:val="5194799F"/>
    <w:rsid w:val="519F6DB5"/>
    <w:rsid w:val="51B3686C"/>
    <w:rsid w:val="51CC64F5"/>
    <w:rsid w:val="51CD3F9B"/>
    <w:rsid w:val="51D26072"/>
    <w:rsid w:val="51D330A9"/>
    <w:rsid w:val="51D43024"/>
    <w:rsid w:val="51DF7AB1"/>
    <w:rsid w:val="51E1273A"/>
    <w:rsid w:val="51E742F8"/>
    <w:rsid w:val="51EF09C9"/>
    <w:rsid w:val="51F16C6A"/>
    <w:rsid w:val="51F62737"/>
    <w:rsid w:val="51FC386B"/>
    <w:rsid w:val="5210676B"/>
    <w:rsid w:val="52106C05"/>
    <w:rsid w:val="52137E58"/>
    <w:rsid w:val="521A5909"/>
    <w:rsid w:val="521B606F"/>
    <w:rsid w:val="52231095"/>
    <w:rsid w:val="52262ED9"/>
    <w:rsid w:val="522E3D86"/>
    <w:rsid w:val="5230032D"/>
    <w:rsid w:val="52330A35"/>
    <w:rsid w:val="523430C2"/>
    <w:rsid w:val="523A0FE4"/>
    <w:rsid w:val="524F1405"/>
    <w:rsid w:val="52530724"/>
    <w:rsid w:val="52575680"/>
    <w:rsid w:val="525A639C"/>
    <w:rsid w:val="525E39E5"/>
    <w:rsid w:val="526411B7"/>
    <w:rsid w:val="52655C10"/>
    <w:rsid w:val="52683270"/>
    <w:rsid w:val="526C7198"/>
    <w:rsid w:val="52713440"/>
    <w:rsid w:val="52745E9C"/>
    <w:rsid w:val="5276389C"/>
    <w:rsid w:val="527C548F"/>
    <w:rsid w:val="527F33F1"/>
    <w:rsid w:val="527F6C10"/>
    <w:rsid w:val="528B342E"/>
    <w:rsid w:val="52914449"/>
    <w:rsid w:val="52986E39"/>
    <w:rsid w:val="529A762D"/>
    <w:rsid w:val="52AD4C36"/>
    <w:rsid w:val="52B025C5"/>
    <w:rsid w:val="52B34EAC"/>
    <w:rsid w:val="52BA77F8"/>
    <w:rsid w:val="52C26D79"/>
    <w:rsid w:val="52C57879"/>
    <w:rsid w:val="52C72FCB"/>
    <w:rsid w:val="52CE78B6"/>
    <w:rsid w:val="52D619D4"/>
    <w:rsid w:val="52D65A1C"/>
    <w:rsid w:val="52DB20D9"/>
    <w:rsid w:val="52DE46C7"/>
    <w:rsid w:val="52DF4051"/>
    <w:rsid w:val="52E0099B"/>
    <w:rsid w:val="52E32620"/>
    <w:rsid w:val="52E33EA7"/>
    <w:rsid w:val="52E350D8"/>
    <w:rsid w:val="52EA76B8"/>
    <w:rsid w:val="52EC61FF"/>
    <w:rsid w:val="52EE56A6"/>
    <w:rsid w:val="52EF4736"/>
    <w:rsid w:val="52F63935"/>
    <w:rsid w:val="52F67202"/>
    <w:rsid w:val="5303125C"/>
    <w:rsid w:val="53032970"/>
    <w:rsid w:val="530B1FE7"/>
    <w:rsid w:val="530D7665"/>
    <w:rsid w:val="531C7676"/>
    <w:rsid w:val="531C79FA"/>
    <w:rsid w:val="53233F08"/>
    <w:rsid w:val="532848C2"/>
    <w:rsid w:val="53292DCC"/>
    <w:rsid w:val="533450D5"/>
    <w:rsid w:val="534022E9"/>
    <w:rsid w:val="5340677A"/>
    <w:rsid w:val="535A0DD1"/>
    <w:rsid w:val="535A2DE6"/>
    <w:rsid w:val="53621696"/>
    <w:rsid w:val="536C29FE"/>
    <w:rsid w:val="537F2CAB"/>
    <w:rsid w:val="537F5068"/>
    <w:rsid w:val="538675DD"/>
    <w:rsid w:val="538A2FFF"/>
    <w:rsid w:val="53917742"/>
    <w:rsid w:val="539B2EC4"/>
    <w:rsid w:val="539D0D17"/>
    <w:rsid w:val="53A217FA"/>
    <w:rsid w:val="53B542AE"/>
    <w:rsid w:val="53BA3E78"/>
    <w:rsid w:val="53CE1270"/>
    <w:rsid w:val="53D76E69"/>
    <w:rsid w:val="53DB4797"/>
    <w:rsid w:val="53E15C71"/>
    <w:rsid w:val="53E247EA"/>
    <w:rsid w:val="53E722ED"/>
    <w:rsid w:val="53FA15EC"/>
    <w:rsid w:val="53FC1BB5"/>
    <w:rsid w:val="53FF70E0"/>
    <w:rsid w:val="540240FC"/>
    <w:rsid w:val="540B4C77"/>
    <w:rsid w:val="54136428"/>
    <w:rsid w:val="54177177"/>
    <w:rsid w:val="541A3A7F"/>
    <w:rsid w:val="541D08B0"/>
    <w:rsid w:val="542337F7"/>
    <w:rsid w:val="54233AA6"/>
    <w:rsid w:val="542F0DEB"/>
    <w:rsid w:val="54335937"/>
    <w:rsid w:val="54392E8F"/>
    <w:rsid w:val="54395E85"/>
    <w:rsid w:val="54626B86"/>
    <w:rsid w:val="546E346E"/>
    <w:rsid w:val="547C2561"/>
    <w:rsid w:val="547E77DB"/>
    <w:rsid w:val="548F30E6"/>
    <w:rsid w:val="549132BE"/>
    <w:rsid w:val="5495130D"/>
    <w:rsid w:val="54987321"/>
    <w:rsid w:val="549D4585"/>
    <w:rsid w:val="54A027A5"/>
    <w:rsid w:val="54A064D5"/>
    <w:rsid w:val="54A64D5A"/>
    <w:rsid w:val="54A96ED3"/>
    <w:rsid w:val="54AD4B3C"/>
    <w:rsid w:val="54B65023"/>
    <w:rsid w:val="54C84874"/>
    <w:rsid w:val="54C95FA4"/>
    <w:rsid w:val="54CB4066"/>
    <w:rsid w:val="54D71271"/>
    <w:rsid w:val="54D94EF2"/>
    <w:rsid w:val="54E47763"/>
    <w:rsid w:val="54F44A6B"/>
    <w:rsid w:val="54F5567A"/>
    <w:rsid w:val="54FC4D33"/>
    <w:rsid w:val="550217FD"/>
    <w:rsid w:val="55025504"/>
    <w:rsid w:val="550D1B1B"/>
    <w:rsid w:val="55102945"/>
    <w:rsid w:val="55165C9A"/>
    <w:rsid w:val="55235B75"/>
    <w:rsid w:val="55250C84"/>
    <w:rsid w:val="55254E42"/>
    <w:rsid w:val="552967C3"/>
    <w:rsid w:val="5530707A"/>
    <w:rsid w:val="55374A9C"/>
    <w:rsid w:val="553A1F5C"/>
    <w:rsid w:val="553A58CB"/>
    <w:rsid w:val="553D5926"/>
    <w:rsid w:val="554669DB"/>
    <w:rsid w:val="554E43B8"/>
    <w:rsid w:val="55560E54"/>
    <w:rsid w:val="5559598C"/>
    <w:rsid w:val="555C4B75"/>
    <w:rsid w:val="55640012"/>
    <w:rsid w:val="5568281B"/>
    <w:rsid w:val="556948EB"/>
    <w:rsid w:val="557C78F1"/>
    <w:rsid w:val="557E0C79"/>
    <w:rsid w:val="5583172B"/>
    <w:rsid w:val="558817C7"/>
    <w:rsid w:val="558B258E"/>
    <w:rsid w:val="558D0757"/>
    <w:rsid w:val="558D3952"/>
    <w:rsid w:val="558F49C1"/>
    <w:rsid w:val="55932F00"/>
    <w:rsid w:val="55970B58"/>
    <w:rsid w:val="55A35FB4"/>
    <w:rsid w:val="55A40F56"/>
    <w:rsid w:val="55A457F2"/>
    <w:rsid w:val="55A46A14"/>
    <w:rsid w:val="55AD3A29"/>
    <w:rsid w:val="55B01EB1"/>
    <w:rsid w:val="55B4581F"/>
    <w:rsid w:val="55BC608E"/>
    <w:rsid w:val="55BD79EB"/>
    <w:rsid w:val="55C3439F"/>
    <w:rsid w:val="55C346C9"/>
    <w:rsid w:val="55C84033"/>
    <w:rsid w:val="55C9709C"/>
    <w:rsid w:val="55D55BCE"/>
    <w:rsid w:val="55D7495E"/>
    <w:rsid w:val="55ED448A"/>
    <w:rsid w:val="55F919C1"/>
    <w:rsid w:val="55FA1399"/>
    <w:rsid w:val="55FA7B10"/>
    <w:rsid w:val="55FF1EEC"/>
    <w:rsid w:val="560500F3"/>
    <w:rsid w:val="560A7735"/>
    <w:rsid w:val="560E604A"/>
    <w:rsid w:val="561875D6"/>
    <w:rsid w:val="561E58F9"/>
    <w:rsid w:val="561F70BD"/>
    <w:rsid w:val="562A0B24"/>
    <w:rsid w:val="56362ABB"/>
    <w:rsid w:val="563D451F"/>
    <w:rsid w:val="56447ABF"/>
    <w:rsid w:val="564A5293"/>
    <w:rsid w:val="564A5978"/>
    <w:rsid w:val="564D43B0"/>
    <w:rsid w:val="565B5002"/>
    <w:rsid w:val="56737149"/>
    <w:rsid w:val="56781C7A"/>
    <w:rsid w:val="56782996"/>
    <w:rsid w:val="567F2814"/>
    <w:rsid w:val="568353F4"/>
    <w:rsid w:val="568A36D4"/>
    <w:rsid w:val="56905FFE"/>
    <w:rsid w:val="5692099E"/>
    <w:rsid w:val="5696013D"/>
    <w:rsid w:val="56963A9B"/>
    <w:rsid w:val="56967FA1"/>
    <w:rsid w:val="56A43DAC"/>
    <w:rsid w:val="56AC0AD0"/>
    <w:rsid w:val="56AD712C"/>
    <w:rsid w:val="56AF33A5"/>
    <w:rsid w:val="56B45FAA"/>
    <w:rsid w:val="56BA42B9"/>
    <w:rsid w:val="56C915F5"/>
    <w:rsid w:val="56D1662F"/>
    <w:rsid w:val="56D32855"/>
    <w:rsid w:val="56E2537A"/>
    <w:rsid w:val="56E969BF"/>
    <w:rsid w:val="56EB3BE2"/>
    <w:rsid w:val="56EC5EDD"/>
    <w:rsid w:val="56ED01FC"/>
    <w:rsid w:val="56FC1F1E"/>
    <w:rsid w:val="56FD0F40"/>
    <w:rsid w:val="56FD3D89"/>
    <w:rsid w:val="56FF6F1B"/>
    <w:rsid w:val="57062D0D"/>
    <w:rsid w:val="57081838"/>
    <w:rsid w:val="570A6638"/>
    <w:rsid w:val="570C59BF"/>
    <w:rsid w:val="57124560"/>
    <w:rsid w:val="5715440B"/>
    <w:rsid w:val="5719289F"/>
    <w:rsid w:val="57296BF1"/>
    <w:rsid w:val="572C50AB"/>
    <w:rsid w:val="5731782A"/>
    <w:rsid w:val="57373149"/>
    <w:rsid w:val="573A52C2"/>
    <w:rsid w:val="57415168"/>
    <w:rsid w:val="57471E8C"/>
    <w:rsid w:val="57483F0C"/>
    <w:rsid w:val="574A67C9"/>
    <w:rsid w:val="574B2AD2"/>
    <w:rsid w:val="575213F0"/>
    <w:rsid w:val="57547C2F"/>
    <w:rsid w:val="576268D5"/>
    <w:rsid w:val="576B1AC3"/>
    <w:rsid w:val="5770015F"/>
    <w:rsid w:val="577474D9"/>
    <w:rsid w:val="57780404"/>
    <w:rsid w:val="577F60AC"/>
    <w:rsid w:val="57814523"/>
    <w:rsid w:val="57871A38"/>
    <w:rsid w:val="57876827"/>
    <w:rsid w:val="578A63DE"/>
    <w:rsid w:val="57905D37"/>
    <w:rsid w:val="57910407"/>
    <w:rsid w:val="57917CB8"/>
    <w:rsid w:val="579F7E72"/>
    <w:rsid w:val="57AE1330"/>
    <w:rsid w:val="57B00E3A"/>
    <w:rsid w:val="57B34DE8"/>
    <w:rsid w:val="57B71718"/>
    <w:rsid w:val="57B86DBA"/>
    <w:rsid w:val="57C142D1"/>
    <w:rsid w:val="57CD4D6F"/>
    <w:rsid w:val="57D24A31"/>
    <w:rsid w:val="57D30668"/>
    <w:rsid w:val="57D37E6C"/>
    <w:rsid w:val="57E31383"/>
    <w:rsid w:val="57E57AFB"/>
    <w:rsid w:val="57F0573F"/>
    <w:rsid w:val="57F56F1A"/>
    <w:rsid w:val="57FF034C"/>
    <w:rsid w:val="580E786E"/>
    <w:rsid w:val="58145286"/>
    <w:rsid w:val="582C624C"/>
    <w:rsid w:val="58334926"/>
    <w:rsid w:val="58377778"/>
    <w:rsid w:val="583C20BD"/>
    <w:rsid w:val="584020D0"/>
    <w:rsid w:val="58422A7F"/>
    <w:rsid w:val="58432F7A"/>
    <w:rsid w:val="584623FC"/>
    <w:rsid w:val="58540CC2"/>
    <w:rsid w:val="585816EE"/>
    <w:rsid w:val="585C6AF9"/>
    <w:rsid w:val="58601C99"/>
    <w:rsid w:val="586051DE"/>
    <w:rsid w:val="58667CB2"/>
    <w:rsid w:val="586F4598"/>
    <w:rsid w:val="587D6EF7"/>
    <w:rsid w:val="587E74CC"/>
    <w:rsid w:val="5885661A"/>
    <w:rsid w:val="58856737"/>
    <w:rsid w:val="588769A3"/>
    <w:rsid w:val="589564A3"/>
    <w:rsid w:val="589B2107"/>
    <w:rsid w:val="58A12631"/>
    <w:rsid w:val="58A40087"/>
    <w:rsid w:val="58AB70D3"/>
    <w:rsid w:val="58B243F7"/>
    <w:rsid w:val="58B85D82"/>
    <w:rsid w:val="58BA399B"/>
    <w:rsid w:val="58C0392E"/>
    <w:rsid w:val="58C56C47"/>
    <w:rsid w:val="58C77E99"/>
    <w:rsid w:val="58CE55C3"/>
    <w:rsid w:val="58D11FB9"/>
    <w:rsid w:val="58E01989"/>
    <w:rsid w:val="58E22555"/>
    <w:rsid w:val="58EB3E6F"/>
    <w:rsid w:val="58F14630"/>
    <w:rsid w:val="58F455CA"/>
    <w:rsid w:val="58F6609C"/>
    <w:rsid w:val="58FE4F5F"/>
    <w:rsid w:val="59001B70"/>
    <w:rsid w:val="59087EFB"/>
    <w:rsid w:val="59100822"/>
    <w:rsid w:val="591C5627"/>
    <w:rsid w:val="59283441"/>
    <w:rsid w:val="592A2B2E"/>
    <w:rsid w:val="592F2BF7"/>
    <w:rsid w:val="59312039"/>
    <w:rsid w:val="59316BB1"/>
    <w:rsid w:val="59390B07"/>
    <w:rsid w:val="59423567"/>
    <w:rsid w:val="59505EAD"/>
    <w:rsid w:val="595079B3"/>
    <w:rsid w:val="5965243D"/>
    <w:rsid w:val="59674526"/>
    <w:rsid w:val="59676627"/>
    <w:rsid w:val="596D75B5"/>
    <w:rsid w:val="597025B1"/>
    <w:rsid w:val="59713B94"/>
    <w:rsid w:val="597928C2"/>
    <w:rsid w:val="597E291E"/>
    <w:rsid w:val="597E7C19"/>
    <w:rsid w:val="59833B09"/>
    <w:rsid w:val="59885953"/>
    <w:rsid w:val="5997791C"/>
    <w:rsid w:val="599B6442"/>
    <w:rsid w:val="599C5ED5"/>
    <w:rsid w:val="599F058A"/>
    <w:rsid w:val="59AB453B"/>
    <w:rsid w:val="59AC7678"/>
    <w:rsid w:val="59B470F9"/>
    <w:rsid w:val="59B87BF2"/>
    <w:rsid w:val="59BC1396"/>
    <w:rsid w:val="59BE7EC6"/>
    <w:rsid w:val="59C017EF"/>
    <w:rsid w:val="59C31A2B"/>
    <w:rsid w:val="59C672D4"/>
    <w:rsid w:val="59CA512A"/>
    <w:rsid w:val="59CC18CE"/>
    <w:rsid w:val="59D06E14"/>
    <w:rsid w:val="59D436A1"/>
    <w:rsid w:val="59D65CD9"/>
    <w:rsid w:val="59DB1F6D"/>
    <w:rsid w:val="59DD2865"/>
    <w:rsid w:val="59E331FB"/>
    <w:rsid w:val="59E65BFD"/>
    <w:rsid w:val="59F41F36"/>
    <w:rsid w:val="59F83ABC"/>
    <w:rsid w:val="59FC4DAF"/>
    <w:rsid w:val="5A026A59"/>
    <w:rsid w:val="5A084E27"/>
    <w:rsid w:val="5A0F77CA"/>
    <w:rsid w:val="5A111DE6"/>
    <w:rsid w:val="5A124ED4"/>
    <w:rsid w:val="5A175378"/>
    <w:rsid w:val="5A1F6DF8"/>
    <w:rsid w:val="5A2B01AB"/>
    <w:rsid w:val="5A3024BD"/>
    <w:rsid w:val="5A31758D"/>
    <w:rsid w:val="5A32503D"/>
    <w:rsid w:val="5A385B32"/>
    <w:rsid w:val="5A3A1420"/>
    <w:rsid w:val="5A3A5832"/>
    <w:rsid w:val="5A3E142C"/>
    <w:rsid w:val="5A4449BF"/>
    <w:rsid w:val="5A446AD9"/>
    <w:rsid w:val="5A4635AD"/>
    <w:rsid w:val="5A540F6D"/>
    <w:rsid w:val="5A542B67"/>
    <w:rsid w:val="5A5527AE"/>
    <w:rsid w:val="5A5D6AFE"/>
    <w:rsid w:val="5A627E4F"/>
    <w:rsid w:val="5A6646F0"/>
    <w:rsid w:val="5A685108"/>
    <w:rsid w:val="5A770F6F"/>
    <w:rsid w:val="5A7D4405"/>
    <w:rsid w:val="5A8B67D9"/>
    <w:rsid w:val="5A922F71"/>
    <w:rsid w:val="5A933BF8"/>
    <w:rsid w:val="5A937B84"/>
    <w:rsid w:val="5A9D577E"/>
    <w:rsid w:val="5A9E4278"/>
    <w:rsid w:val="5A9F0F5F"/>
    <w:rsid w:val="5AAA7DFA"/>
    <w:rsid w:val="5AC40942"/>
    <w:rsid w:val="5ACA2EAD"/>
    <w:rsid w:val="5ACD1E09"/>
    <w:rsid w:val="5AD84AE0"/>
    <w:rsid w:val="5AD912A1"/>
    <w:rsid w:val="5ADE192D"/>
    <w:rsid w:val="5ADF3B0E"/>
    <w:rsid w:val="5AE12BB0"/>
    <w:rsid w:val="5AE6654E"/>
    <w:rsid w:val="5AF819BF"/>
    <w:rsid w:val="5AFB4DA0"/>
    <w:rsid w:val="5AFC572F"/>
    <w:rsid w:val="5AFD30D7"/>
    <w:rsid w:val="5AFF047A"/>
    <w:rsid w:val="5B0529B5"/>
    <w:rsid w:val="5B123E15"/>
    <w:rsid w:val="5B1C7E4C"/>
    <w:rsid w:val="5B204155"/>
    <w:rsid w:val="5B2A545F"/>
    <w:rsid w:val="5B2E3A4A"/>
    <w:rsid w:val="5B2F7446"/>
    <w:rsid w:val="5B337F74"/>
    <w:rsid w:val="5B3D2B25"/>
    <w:rsid w:val="5B4C13B2"/>
    <w:rsid w:val="5B50742C"/>
    <w:rsid w:val="5B5E7558"/>
    <w:rsid w:val="5B6A7ABC"/>
    <w:rsid w:val="5B720655"/>
    <w:rsid w:val="5B786A16"/>
    <w:rsid w:val="5B847AFC"/>
    <w:rsid w:val="5B8820E4"/>
    <w:rsid w:val="5B8C2B24"/>
    <w:rsid w:val="5B9045C8"/>
    <w:rsid w:val="5BA13AF9"/>
    <w:rsid w:val="5BA15F9E"/>
    <w:rsid w:val="5BA96E5E"/>
    <w:rsid w:val="5BAC17E2"/>
    <w:rsid w:val="5BB3230C"/>
    <w:rsid w:val="5BC6082D"/>
    <w:rsid w:val="5BC812A6"/>
    <w:rsid w:val="5BCA6A95"/>
    <w:rsid w:val="5BCC5420"/>
    <w:rsid w:val="5BD1001D"/>
    <w:rsid w:val="5BD579AD"/>
    <w:rsid w:val="5BDF18D5"/>
    <w:rsid w:val="5BE04366"/>
    <w:rsid w:val="5BE817F1"/>
    <w:rsid w:val="5BED7137"/>
    <w:rsid w:val="5BED7E6A"/>
    <w:rsid w:val="5BEE584D"/>
    <w:rsid w:val="5BFA3768"/>
    <w:rsid w:val="5BFD6FAA"/>
    <w:rsid w:val="5C062A7B"/>
    <w:rsid w:val="5C096295"/>
    <w:rsid w:val="5C192F1E"/>
    <w:rsid w:val="5C284E4C"/>
    <w:rsid w:val="5C3232B3"/>
    <w:rsid w:val="5C3870E6"/>
    <w:rsid w:val="5C3D38EA"/>
    <w:rsid w:val="5C406660"/>
    <w:rsid w:val="5C4232D4"/>
    <w:rsid w:val="5C47748C"/>
    <w:rsid w:val="5C4D1804"/>
    <w:rsid w:val="5C4E7CDC"/>
    <w:rsid w:val="5C523A36"/>
    <w:rsid w:val="5C5555C1"/>
    <w:rsid w:val="5C574FB2"/>
    <w:rsid w:val="5C5B0ABA"/>
    <w:rsid w:val="5C5D7317"/>
    <w:rsid w:val="5C691F71"/>
    <w:rsid w:val="5C6D722C"/>
    <w:rsid w:val="5C70357A"/>
    <w:rsid w:val="5C733C20"/>
    <w:rsid w:val="5C73436C"/>
    <w:rsid w:val="5C737BC5"/>
    <w:rsid w:val="5C783A85"/>
    <w:rsid w:val="5C7A5D38"/>
    <w:rsid w:val="5C804B75"/>
    <w:rsid w:val="5C863D3B"/>
    <w:rsid w:val="5C8A0198"/>
    <w:rsid w:val="5C8A14EA"/>
    <w:rsid w:val="5C8C0779"/>
    <w:rsid w:val="5C9565B1"/>
    <w:rsid w:val="5C976DED"/>
    <w:rsid w:val="5C987584"/>
    <w:rsid w:val="5C9B452D"/>
    <w:rsid w:val="5CA36CA6"/>
    <w:rsid w:val="5CA677C1"/>
    <w:rsid w:val="5CB36CC5"/>
    <w:rsid w:val="5CB550FD"/>
    <w:rsid w:val="5CB637B7"/>
    <w:rsid w:val="5CB76728"/>
    <w:rsid w:val="5CB9742C"/>
    <w:rsid w:val="5CBB0067"/>
    <w:rsid w:val="5CBB5D8D"/>
    <w:rsid w:val="5CC472B9"/>
    <w:rsid w:val="5CC66786"/>
    <w:rsid w:val="5CCD57E9"/>
    <w:rsid w:val="5CCD62EC"/>
    <w:rsid w:val="5CDB14B3"/>
    <w:rsid w:val="5CDD788F"/>
    <w:rsid w:val="5CE83A49"/>
    <w:rsid w:val="5CEA6691"/>
    <w:rsid w:val="5CFE65AD"/>
    <w:rsid w:val="5D047D95"/>
    <w:rsid w:val="5D050CF3"/>
    <w:rsid w:val="5D06540C"/>
    <w:rsid w:val="5D0D4641"/>
    <w:rsid w:val="5D196A97"/>
    <w:rsid w:val="5D3629E7"/>
    <w:rsid w:val="5D3B3B88"/>
    <w:rsid w:val="5D3F1E8A"/>
    <w:rsid w:val="5D3F6A9C"/>
    <w:rsid w:val="5D4A6884"/>
    <w:rsid w:val="5D4C61D9"/>
    <w:rsid w:val="5D526125"/>
    <w:rsid w:val="5D54589A"/>
    <w:rsid w:val="5D603EEF"/>
    <w:rsid w:val="5D70201C"/>
    <w:rsid w:val="5D7164DE"/>
    <w:rsid w:val="5D7A4009"/>
    <w:rsid w:val="5D7D3DEA"/>
    <w:rsid w:val="5D7E5147"/>
    <w:rsid w:val="5D8F126C"/>
    <w:rsid w:val="5DA45F8E"/>
    <w:rsid w:val="5DA577FE"/>
    <w:rsid w:val="5DAA64CD"/>
    <w:rsid w:val="5DAD38F9"/>
    <w:rsid w:val="5DAE2A17"/>
    <w:rsid w:val="5DC65EAE"/>
    <w:rsid w:val="5DC843D2"/>
    <w:rsid w:val="5DD12697"/>
    <w:rsid w:val="5DE26C90"/>
    <w:rsid w:val="5DEE1AC6"/>
    <w:rsid w:val="5DF029D4"/>
    <w:rsid w:val="5E012355"/>
    <w:rsid w:val="5E1D1C02"/>
    <w:rsid w:val="5E203442"/>
    <w:rsid w:val="5E257981"/>
    <w:rsid w:val="5E2879FE"/>
    <w:rsid w:val="5E2B7C85"/>
    <w:rsid w:val="5E310538"/>
    <w:rsid w:val="5E5255A0"/>
    <w:rsid w:val="5E5C1358"/>
    <w:rsid w:val="5E61476D"/>
    <w:rsid w:val="5E745945"/>
    <w:rsid w:val="5E762235"/>
    <w:rsid w:val="5E7E6E0C"/>
    <w:rsid w:val="5E853443"/>
    <w:rsid w:val="5E8F5CEF"/>
    <w:rsid w:val="5E954A5E"/>
    <w:rsid w:val="5E98037A"/>
    <w:rsid w:val="5E9A73E8"/>
    <w:rsid w:val="5E9C548C"/>
    <w:rsid w:val="5E9F644C"/>
    <w:rsid w:val="5EA241F0"/>
    <w:rsid w:val="5EA2701A"/>
    <w:rsid w:val="5EA2748E"/>
    <w:rsid w:val="5EA34E9F"/>
    <w:rsid w:val="5EA76E50"/>
    <w:rsid w:val="5EAB7C59"/>
    <w:rsid w:val="5EBD5175"/>
    <w:rsid w:val="5EC50096"/>
    <w:rsid w:val="5EC50D3F"/>
    <w:rsid w:val="5EE059F2"/>
    <w:rsid w:val="5EE24B2D"/>
    <w:rsid w:val="5EE75163"/>
    <w:rsid w:val="5EF046F1"/>
    <w:rsid w:val="5EF20894"/>
    <w:rsid w:val="5F082683"/>
    <w:rsid w:val="5F1217F3"/>
    <w:rsid w:val="5F130003"/>
    <w:rsid w:val="5F1A4E21"/>
    <w:rsid w:val="5F1E4691"/>
    <w:rsid w:val="5F2D184A"/>
    <w:rsid w:val="5F2E33F8"/>
    <w:rsid w:val="5F352334"/>
    <w:rsid w:val="5F354713"/>
    <w:rsid w:val="5F3C7476"/>
    <w:rsid w:val="5F3D52CE"/>
    <w:rsid w:val="5F4212C6"/>
    <w:rsid w:val="5F4E4399"/>
    <w:rsid w:val="5F5B6F08"/>
    <w:rsid w:val="5F5B760C"/>
    <w:rsid w:val="5F6F64FA"/>
    <w:rsid w:val="5F736F85"/>
    <w:rsid w:val="5F80098A"/>
    <w:rsid w:val="5F836975"/>
    <w:rsid w:val="5F85678F"/>
    <w:rsid w:val="5F885314"/>
    <w:rsid w:val="5F88617B"/>
    <w:rsid w:val="5F9E03A7"/>
    <w:rsid w:val="5FA059E3"/>
    <w:rsid w:val="5FA236BE"/>
    <w:rsid w:val="5FA50157"/>
    <w:rsid w:val="5FB3644B"/>
    <w:rsid w:val="5FB64A76"/>
    <w:rsid w:val="5FBC258B"/>
    <w:rsid w:val="5FC47651"/>
    <w:rsid w:val="5FCD062E"/>
    <w:rsid w:val="5FCE744A"/>
    <w:rsid w:val="5FD13596"/>
    <w:rsid w:val="5FE01231"/>
    <w:rsid w:val="5FE242CE"/>
    <w:rsid w:val="5FE56707"/>
    <w:rsid w:val="5FE71F20"/>
    <w:rsid w:val="5FE93EB3"/>
    <w:rsid w:val="5FEA6224"/>
    <w:rsid w:val="5FEB3DD8"/>
    <w:rsid w:val="5FF25AD0"/>
    <w:rsid w:val="5FF72CD2"/>
    <w:rsid w:val="5FF97CB8"/>
    <w:rsid w:val="5FFA18E1"/>
    <w:rsid w:val="600121A4"/>
    <w:rsid w:val="60036590"/>
    <w:rsid w:val="600620AA"/>
    <w:rsid w:val="600F2195"/>
    <w:rsid w:val="600F2682"/>
    <w:rsid w:val="60160E34"/>
    <w:rsid w:val="60180A43"/>
    <w:rsid w:val="601C65E9"/>
    <w:rsid w:val="601F72AE"/>
    <w:rsid w:val="60237859"/>
    <w:rsid w:val="602E2E9E"/>
    <w:rsid w:val="602F73E8"/>
    <w:rsid w:val="60311DF7"/>
    <w:rsid w:val="603424F7"/>
    <w:rsid w:val="603C002E"/>
    <w:rsid w:val="603C3279"/>
    <w:rsid w:val="606120B6"/>
    <w:rsid w:val="607138C6"/>
    <w:rsid w:val="607563A0"/>
    <w:rsid w:val="60771944"/>
    <w:rsid w:val="607721D8"/>
    <w:rsid w:val="6077225B"/>
    <w:rsid w:val="607745D7"/>
    <w:rsid w:val="607929CA"/>
    <w:rsid w:val="60796417"/>
    <w:rsid w:val="608271D3"/>
    <w:rsid w:val="60885CC3"/>
    <w:rsid w:val="60A02747"/>
    <w:rsid w:val="60A93E02"/>
    <w:rsid w:val="60AE6CF7"/>
    <w:rsid w:val="60BA5BDC"/>
    <w:rsid w:val="60BC513A"/>
    <w:rsid w:val="60CD248A"/>
    <w:rsid w:val="60CF1382"/>
    <w:rsid w:val="60D161A1"/>
    <w:rsid w:val="60DB4996"/>
    <w:rsid w:val="60E804C8"/>
    <w:rsid w:val="60E82488"/>
    <w:rsid w:val="60ED457C"/>
    <w:rsid w:val="60F917FF"/>
    <w:rsid w:val="61001425"/>
    <w:rsid w:val="610C2BA7"/>
    <w:rsid w:val="610C58B3"/>
    <w:rsid w:val="610E1810"/>
    <w:rsid w:val="611C0E34"/>
    <w:rsid w:val="61223756"/>
    <w:rsid w:val="6123217B"/>
    <w:rsid w:val="612E7C95"/>
    <w:rsid w:val="613114AC"/>
    <w:rsid w:val="61316FD6"/>
    <w:rsid w:val="61322512"/>
    <w:rsid w:val="6134785C"/>
    <w:rsid w:val="61352E91"/>
    <w:rsid w:val="61473935"/>
    <w:rsid w:val="614E31E0"/>
    <w:rsid w:val="61543DAF"/>
    <w:rsid w:val="615E2097"/>
    <w:rsid w:val="615F7E58"/>
    <w:rsid w:val="616B3BB7"/>
    <w:rsid w:val="616C1100"/>
    <w:rsid w:val="616F6754"/>
    <w:rsid w:val="617960E2"/>
    <w:rsid w:val="617A42D6"/>
    <w:rsid w:val="617B23A0"/>
    <w:rsid w:val="61814E81"/>
    <w:rsid w:val="6184517F"/>
    <w:rsid w:val="618759C2"/>
    <w:rsid w:val="619003D9"/>
    <w:rsid w:val="619F1459"/>
    <w:rsid w:val="619F5B36"/>
    <w:rsid w:val="61A569E0"/>
    <w:rsid w:val="61AD6B6B"/>
    <w:rsid w:val="61B82B20"/>
    <w:rsid w:val="61BE3289"/>
    <w:rsid w:val="61C56BF0"/>
    <w:rsid w:val="61D3573A"/>
    <w:rsid w:val="61D719EF"/>
    <w:rsid w:val="61DA0023"/>
    <w:rsid w:val="61DE3D89"/>
    <w:rsid w:val="61E817D6"/>
    <w:rsid w:val="61FA456D"/>
    <w:rsid w:val="61FB29F4"/>
    <w:rsid w:val="61FD0B7F"/>
    <w:rsid w:val="6202440D"/>
    <w:rsid w:val="621353F6"/>
    <w:rsid w:val="6215557B"/>
    <w:rsid w:val="62164F04"/>
    <w:rsid w:val="62242F41"/>
    <w:rsid w:val="622B16F3"/>
    <w:rsid w:val="622E1703"/>
    <w:rsid w:val="6241434B"/>
    <w:rsid w:val="62457F69"/>
    <w:rsid w:val="624859E0"/>
    <w:rsid w:val="62501A6E"/>
    <w:rsid w:val="625340E5"/>
    <w:rsid w:val="625537E1"/>
    <w:rsid w:val="6257558F"/>
    <w:rsid w:val="626A2A90"/>
    <w:rsid w:val="628208D9"/>
    <w:rsid w:val="62860FD2"/>
    <w:rsid w:val="62864D4D"/>
    <w:rsid w:val="628C352F"/>
    <w:rsid w:val="62911EC6"/>
    <w:rsid w:val="6296204E"/>
    <w:rsid w:val="62A56898"/>
    <w:rsid w:val="62A9509E"/>
    <w:rsid w:val="62AF0C7A"/>
    <w:rsid w:val="62B542AE"/>
    <w:rsid w:val="62CA428F"/>
    <w:rsid w:val="62DA5BAE"/>
    <w:rsid w:val="62E456CB"/>
    <w:rsid w:val="62E51AC9"/>
    <w:rsid w:val="62EF1A21"/>
    <w:rsid w:val="62F1233E"/>
    <w:rsid w:val="62F220EA"/>
    <w:rsid w:val="63046049"/>
    <w:rsid w:val="63087F0B"/>
    <w:rsid w:val="63147FBC"/>
    <w:rsid w:val="631D4176"/>
    <w:rsid w:val="632A40AB"/>
    <w:rsid w:val="632B0118"/>
    <w:rsid w:val="632D0001"/>
    <w:rsid w:val="632E4EED"/>
    <w:rsid w:val="63456BC3"/>
    <w:rsid w:val="63487B99"/>
    <w:rsid w:val="635A0F73"/>
    <w:rsid w:val="6368704D"/>
    <w:rsid w:val="637B42B9"/>
    <w:rsid w:val="63843C72"/>
    <w:rsid w:val="63891A97"/>
    <w:rsid w:val="638B1487"/>
    <w:rsid w:val="638C5B91"/>
    <w:rsid w:val="63993DFC"/>
    <w:rsid w:val="639A120E"/>
    <w:rsid w:val="639D7F6D"/>
    <w:rsid w:val="639E1235"/>
    <w:rsid w:val="63A46088"/>
    <w:rsid w:val="63BC4D7B"/>
    <w:rsid w:val="63C33243"/>
    <w:rsid w:val="63C377E5"/>
    <w:rsid w:val="63CB2F1A"/>
    <w:rsid w:val="63CC0920"/>
    <w:rsid w:val="63CC3A31"/>
    <w:rsid w:val="63CD3318"/>
    <w:rsid w:val="63CF3290"/>
    <w:rsid w:val="63D23818"/>
    <w:rsid w:val="63D33FFB"/>
    <w:rsid w:val="63E05B46"/>
    <w:rsid w:val="63EA5BFB"/>
    <w:rsid w:val="63EF00E5"/>
    <w:rsid w:val="63F25DD3"/>
    <w:rsid w:val="63FB13D2"/>
    <w:rsid w:val="63FE0815"/>
    <w:rsid w:val="64023B38"/>
    <w:rsid w:val="640B2828"/>
    <w:rsid w:val="640E7DE5"/>
    <w:rsid w:val="64157C9A"/>
    <w:rsid w:val="64273868"/>
    <w:rsid w:val="642805AC"/>
    <w:rsid w:val="642A3F29"/>
    <w:rsid w:val="642B0A07"/>
    <w:rsid w:val="64371027"/>
    <w:rsid w:val="644124EE"/>
    <w:rsid w:val="64517030"/>
    <w:rsid w:val="645B4523"/>
    <w:rsid w:val="645D5436"/>
    <w:rsid w:val="645F00F9"/>
    <w:rsid w:val="64654FE4"/>
    <w:rsid w:val="64655AB8"/>
    <w:rsid w:val="646A78E1"/>
    <w:rsid w:val="646D463C"/>
    <w:rsid w:val="646F4C6F"/>
    <w:rsid w:val="64704B94"/>
    <w:rsid w:val="6472653C"/>
    <w:rsid w:val="647A51CE"/>
    <w:rsid w:val="647D0885"/>
    <w:rsid w:val="64866512"/>
    <w:rsid w:val="64947669"/>
    <w:rsid w:val="649658B4"/>
    <w:rsid w:val="64996A5D"/>
    <w:rsid w:val="64A61110"/>
    <w:rsid w:val="64B702DF"/>
    <w:rsid w:val="64BE6CEE"/>
    <w:rsid w:val="64CF13D0"/>
    <w:rsid w:val="64E03EDE"/>
    <w:rsid w:val="64E31235"/>
    <w:rsid w:val="64E36A73"/>
    <w:rsid w:val="64E73733"/>
    <w:rsid w:val="64E77A50"/>
    <w:rsid w:val="64EA28B0"/>
    <w:rsid w:val="64FD603C"/>
    <w:rsid w:val="64FE7269"/>
    <w:rsid w:val="64FF5891"/>
    <w:rsid w:val="64FF646D"/>
    <w:rsid w:val="650359F6"/>
    <w:rsid w:val="650410CD"/>
    <w:rsid w:val="65104B6E"/>
    <w:rsid w:val="65222277"/>
    <w:rsid w:val="6529292C"/>
    <w:rsid w:val="65295986"/>
    <w:rsid w:val="652B7754"/>
    <w:rsid w:val="65311218"/>
    <w:rsid w:val="653706A9"/>
    <w:rsid w:val="6546524B"/>
    <w:rsid w:val="65505D2D"/>
    <w:rsid w:val="655A0C9E"/>
    <w:rsid w:val="656D7D1B"/>
    <w:rsid w:val="65786603"/>
    <w:rsid w:val="65966C97"/>
    <w:rsid w:val="659725C3"/>
    <w:rsid w:val="65A15D59"/>
    <w:rsid w:val="65BA4617"/>
    <w:rsid w:val="65BB211F"/>
    <w:rsid w:val="65BC4C1C"/>
    <w:rsid w:val="65C73F58"/>
    <w:rsid w:val="65D31989"/>
    <w:rsid w:val="65D56D41"/>
    <w:rsid w:val="65D825A6"/>
    <w:rsid w:val="65E26C15"/>
    <w:rsid w:val="65E54E8C"/>
    <w:rsid w:val="65EC222F"/>
    <w:rsid w:val="65F93A22"/>
    <w:rsid w:val="65FB35D1"/>
    <w:rsid w:val="66023919"/>
    <w:rsid w:val="66045C9A"/>
    <w:rsid w:val="660C3807"/>
    <w:rsid w:val="660C5467"/>
    <w:rsid w:val="660E6370"/>
    <w:rsid w:val="660F3B16"/>
    <w:rsid w:val="66114AB2"/>
    <w:rsid w:val="661722D4"/>
    <w:rsid w:val="66175A80"/>
    <w:rsid w:val="661B05CC"/>
    <w:rsid w:val="662D2C75"/>
    <w:rsid w:val="66302794"/>
    <w:rsid w:val="66352592"/>
    <w:rsid w:val="66364736"/>
    <w:rsid w:val="663B4D08"/>
    <w:rsid w:val="663D2CF0"/>
    <w:rsid w:val="663E2E7D"/>
    <w:rsid w:val="664B7841"/>
    <w:rsid w:val="66525885"/>
    <w:rsid w:val="66527FF3"/>
    <w:rsid w:val="66534F7E"/>
    <w:rsid w:val="665D2862"/>
    <w:rsid w:val="665F6430"/>
    <w:rsid w:val="6662314F"/>
    <w:rsid w:val="66623747"/>
    <w:rsid w:val="66677AF1"/>
    <w:rsid w:val="6669769C"/>
    <w:rsid w:val="667C2E09"/>
    <w:rsid w:val="667F0056"/>
    <w:rsid w:val="66827146"/>
    <w:rsid w:val="668452B4"/>
    <w:rsid w:val="668F1290"/>
    <w:rsid w:val="669161DB"/>
    <w:rsid w:val="66965251"/>
    <w:rsid w:val="66A312F6"/>
    <w:rsid w:val="66AA2D67"/>
    <w:rsid w:val="66B424CC"/>
    <w:rsid w:val="66B75039"/>
    <w:rsid w:val="66D026CE"/>
    <w:rsid w:val="66D1249F"/>
    <w:rsid w:val="66D206F6"/>
    <w:rsid w:val="66D74360"/>
    <w:rsid w:val="66DC6CC3"/>
    <w:rsid w:val="66DC7E4D"/>
    <w:rsid w:val="66DE6CB1"/>
    <w:rsid w:val="66E044E9"/>
    <w:rsid w:val="66FB1CE4"/>
    <w:rsid w:val="66FC7463"/>
    <w:rsid w:val="670033E4"/>
    <w:rsid w:val="67026B35"/>
    <w:rsid w:val="670354E3"/>
    <w:rsid w:val="67071E75"/>
    <w:rsid w:val="671165EF"/>
    <w:rsid w:val="671732EA"/>
    <w:rsid w:val="671A2AE9"/>
    <w:rsid w:val="673244AF"/>
    <w:rsid w:val="6735711B"/>
    <w:rsid w:val="673909BC"/>
    <w:rsid w:val="673D2B04"/>
    <w:rsid w:val="67410C81"/>
    <w:rsid w:val="674703B9"/>
    <w:rsid w:val="674D7006"/>
    <w:rsid w:val="674F67E0"/>
    <w:rsid w:val="675247A9"/>
    <w:rsid w:val="67525A72"/>
    <w:rsid w:val="675415A6"/>
    <w:rsid w:val="6758480A"/>
    <w:rsid w:val="676B7ECF"/>
    <w:rsid w:val="676F196F"/>
    <w:rsid w:val="677C3193"/>
    <w:rsid w:val="677F754C"/>
    <w:rsid w:val="67843713"/>
    <w:rsid w:val="67893B5C"/>
    <w:rsid w:val="6791737B"/>
    <w:rsid w:val="679B14F3"/>
    <w:rsid w:val="679C1519"/>
    <w:rsid w:val="679C1EB7"/>
    <w:rsid w:val="67A402E0"/>
    <w:rsid w:val="67AA6BE6"/>
    <w:rsid w:val="67AD0A4A"/>
    <w:rsid w:val="67B418D9"/>
    <w:rsid w:val="67BD00BF"/>
    <w:rsid w:val="67D02284"/>
    <w:rsid w:val="67D21901"/>
    <w:rsid w:val="67D42269"/>
    <w:rsid w:val="67D42CC5"/>
    <w:rsid w:val="67F1161E"/>
    <w:rsid w:val="67FA7727"/>
    <w:rsid w:val="68000D3E"/>
    <w:rsid w:val="68065A4D"/>
    <w:rsid w:val="680C6CDC"/>
    <w:rsid w:val="680E7D13"/>
    <w:rsid w:val="680F73F7"/>
    <w:rsid w:val="68174A99"/>
    <w:rsid w:val="681C1CA9"/>
    <w:rsid w:val="683473E4"/>
    <w:rsid w:val="68396541"/>
    <w:rsid w:val="683B46FF"/>
    <w:rsid w:val="683D503B"/>
    <w:rsid w:val="68433CBE"/>
    <w:rsid w:val="684536E2"/>
    <w:rsid w:val="684C7B33"/>
    <w:rsid w:val="68504102"/>
    <w:rsid w:val="685B4CB2"/>
    <w:rsid w:val="685D47DC"/>
    <w:rsid w:val="68601EDC"/>
    <w:rsid w:val="68625568"/>
    <w:rsid w:val="6863575A"/>
    <w:rsid w:val="686A3518"/>
    <w:rsid w:val="6882276F"/>
    <w:rsid w:val="688815B1"/>
    <w:rsid w:val="68882FEE"/>
    <w:rsid w:val="688B1098"/>
    <w:rsid w:val="688E59DC"/>
    <w:rsid w:val="688F4C27"/>
    <w:rsid w:val="6895674A"/>
    <w:rsid w:val="68977522"/>
    <w:rsid w:val="68985EDB"/>
    <w:rsid w:val="689E22A4"/>
    <w:rsid w:val="68B25FAE"/>
    <w:rsid w:val="68B31E37"/>
    <w:rsid w:val="68B631AD"/>
    <w:rsid w:val="68B8223D"/>
    <w:rsid w:val="68BA20C6"/>
    <w:rsid w:val="68BA5D12"/>
    <w:rsid w:val="68BB5F37"/>
    <w:rsid w:val="68BF73D3"/>
    <w:rsid w:val="68BF741B"/>
    <w:rsid w:val="68C73F5A"/>
    <w:rsid w:val="68D565CF"/>
    <w:rsid w:val="68FC5408"/>
    <w:rsid w:val="69117595"/>
    <w:rsid w:val="69217BD3"/>
    <w:rsid w:val="69223D6C"/>
    <w:rsid w:val="69270730"/>
    <w:rsid w:val="69280FE0"/>
    <w:rsid w:val="692810AE"/>
    <w:rsid w:val="69284B01"/>
    <w:rsid w:val="692D0DB9"/>
    <w:rsid w:val="692E0972"/>
    <w:rsid w:val="69377C47"/>
    <w:rsid w:val="693F6F15"/>
    <w:rsid w:val="69642355"/>
    <w:rsid w:val="69675B2B"/>
    <w:rsid w:val="697044CB"/>
    <w:rsid w:val="697707E6"/>
    <w:rsid w:val="69777AAF"/>
    <w:rsid w:val="699B27F7"/>
    <w:rsid w:val="69A40147"/>
    <w:rsid w:val="69A910D9"/>
    <w:rsid w:val="69B059D8"/>
    <w:rsid w:val="69B92A4F"/>
    <w:rsid w:val="69BD47F2"/>
    <w:rsid w:val="69BE7BFF"/>
    <w:rsid w:val="69C25061"/>
    <w:rsid w:val="69C31B08"/>
    <w:rsid w:val="69C3481A"/>
    <w:rsid w:val="69C3726E"/>
    <w:rsid w:val="69CC75E8"/>
    <w:rsid w:val="69E14D05"/>
    <w:rsid w:val="69E24ED3"/>
    <w:rsid w:val="69F116D7"/>
    <w:rsid w:val="69F248C8"/>
    <w:rsid w:val="69FB396D"/>
    <w:rsid w:val="6A0969CC"/>
    <w:rsid w:val="6A154E0C"/>
    <w:rsid w:val="6A323E56"/>
    <w:rsid w:val="6A35336C"/>
    <w:rsid w:val="6A443693"/>
    <w:rsid w:val="6A491963"/>
    <w:rsid w:val="6A557914"/>
    <w:rsid w:val="6A59100A"/>
    <w:rsid w:val="6A5F44B8"/>
    <w:rsid w:val="6A675E36"/>
    <w:rsid w:val="6A682A03"/>
    <w:rsid w:val="6A6C2E0A"/>
    <w:rsid w:val="6A755749"/>
    <w:rsid w:val="6A761711"/>
    <w:rsid w:val="6A8000B9"/>
    <w:rsid w:val="6A800710"/>
    <w:rsid w:val="6A880DA0"/>
    <w:rsid w:val="6A890D04"/>
    <w:rsid w:val="6A8B48FA"/>
    <w:rsid w:val="6A944061"/>
    <w:rsid w:val="6AA21DC3"/>
    <w:rsid w:val="6AA678F5"/>
    <w:rsid w:val="6AA81317"/>
    <w:rsid w:val="6AAD1620"/>
    <w:rsid w:val="6AAD7DE5"/>
    <w:rsid w:val="6AAF5D75"/>
    <w:rsid w:val="6AB43E28"/>
    <w:rsid w:val="6ABE5DEB"/>
    <w:rsid w:val="6AC14DF0"/>
    <w:rsid w:val="6AC442D9"/>
    <w:rsid w:val="6ACC5C51"/>
    <w:rsid w:val="6AD62D60"/>
    <w:rsid w:val="6AE211C4"/>
    <w:rsid w:val="6AE43044"/>
    <w:rsid w:val="6AE5098B"/>
    <w:rsid w:val="6AE66D49"/>
    <w:rsid w:val="6AEF7D48"/>
    <w:rsid w:val="6AF64392"/>
    <w:rsid w:val="6AF835BB"/>
    <w:rsid w:val="6B055020"/>
    <w:rsid w:val="6B066B74"/>
    <w:rsid w:val="6B116215"/>
    <w:rsid w:val="6B153C13"/>
    <w:rsid w:val="6B1925B9"/>
    <w:rsid w:val="6B1C6D70"/>
    <w:rsid w:val="6B2318AB"/>
    <w:rsid w:val="6B240BB2"/>
    <w:rsid w:val="6B274FFF"/>
    <w:rsid w:val="6B376BD9"/>
    <w:rsid w:val="6B3A6506"/>
    <w:rsid w:val="6B433DD3"/>
    <w:rsid w:val="6B484E78"/>
    <w:rsid w:val="6B4E6F05"/>
    <w:rsid w:val="6B4F42C3"/>
    <w:rsid w:val="6B5B770E"/>
    <w:rsid w:val="6B5D7A75"/>
    <w:rsid w:val="6B5F4414"/>
    <w:rsid w:val="6B64721C"/>
    <w:rsid w:val="6B802B11"/>
    <w:rsid w:val="6B863D33"/>
    <w:rsid w:val="6B972B1F"/>
    <w:rsid w:val="6B9B6F30"/>
    <w:rsid w:val="6B9F2724"/>
    <w:rsid w:val="6BA032C6"/>
    <w:rsid w:val="6BAA5A4B"/>
    <w:rsid w:val="6BBB34A6"/>
    <w:rsid w:val="6BBD4B2B"/>
    <w:rsid w:val="6BD0244E"/>
    <w:rsid w:val="6BD96DA8"/>
    <w:rsid w:val="6BDB5585"/>
    <w:rsid w:val="6BE15842"/>
    <w:rsid w:val="6BE16BC5"/>
    <w:rsid w:val="6BF1325F"/>
    <w:rsid w:val="6BF9449A"/>
    <w:rsid w:val="6C022213"/>
    <w:rsid w:val="6C0B5148"/>
    <w:rsid w:val="6C12456D"/>
    <w:rsid w:val="6C1B36D7"/>
    <w:rsid w:val="6C1C7ACD"/>
    <w:rsid w:val="6C204621"/>
    <w:rsid w:val="6C261891"/>
    <w:rsid w:val="6C281ACF"/>
    <w:rsid w:val="6C3862F4"/>
    <w:rsid w:val="6C464ADB"/>
    <w:rsid w:val="6C4F0189"/>
    <w:rsid w:val="6C554FCE"/>
    <w:rsid w:val="6C63494C"/>
    <w:rsid w:val="6C6747EB"/>
    <w:rsid w:val="6C674B21"/>
    <w:rsid w:val="6C7D1862"/>
    <w:rsid w:val="6C8531A1"/>
    <w:rsid w:val="6C8B2BB2"/>
    <w:rsid w:val="6C8F1389"/>
    <w:rsid w:val="6C9B67A4"/>
    <w:rsid w:val="6CA907AB"/>
    <w:rsid w:val="6CAC0ECE"/>
    <w:rsid w:val="6CB20C12"/>
    <w:rsid w:val="6CC1453C"/>
    <w:rsid w:val="6CC5530F"/>
    <w:rsid w:val="6CC60DB7"/>
    <w:rsid w:val="6CD13C0C"/>
    <w:rsid w:val="6CD3593C"/>
    <w:rsid w:val="6CDA22F9"/>
    <w:rsid w:val="6CDA623B"/>
    <w:rsid w:val="6CDD46B7"/>
    <w:rsid w:val="6CF6006A"/>
    <w:rsid w:val="6CFD2CFD"/>
    <w:rsid w:val="6D0425A9"/>
    <w:rsid w:val="6D0B43C3"/>
    <w:rsid w:val="6D112A7D"/>
    <w:rsid w:val="6D170713"/>
    <w:rsid w:val="6D221577"/>
    <w:rsid w:val="6D244F8A"/>
    <w:rsid w:val="6D535020"/>
    <w:rsid w:val="6D537919"/>
    <w:rsid w:val="6D5531C6"/>
    <w:rsid w:val="6D581CC2"/>
    <w:rsid w:val="6D6711DE"/>
    <w:rsid w:val="6D6A40F8"/>
    <w:rsid w:val="6D7343AF"/>
    <w:rsid w:val="6D734E31"/>
    <w:rsid w:val="6D7D1343"/>
    <w:rsid w:val="6D7E31EE"/>
    <w:rsid w:val="6D8B4E63"/>
    <w:rsid w:val="6D8C7BE4"/>
    <w:rsid w:val="6D8E4262"/>
    <w:rsid w:val="6D926ECE"/>
    <w:rsid w:val="6D9E2D1E"/>
    <w:rsid w:val="6D9F50A9"/>
    <w:rsid w:val="6DA737B9"/>
    <w:rsid w:val="6DA75479"/>
    <w:rsid w:val="6DB16F02"/>
    <w:rsid w:val="6DB531ED"/>
    <w:rsid w:val="6DC3470E"/>
    <w:rsid w:val="6DC35ED4"/>
    <w:rsid w:val="6DC901CD"/>
    <w:rsid w:val="6DD302F7"/>
    <w:rsid w:val="6DD421F0"/>
    <w:rsid w:val="6DD42FC6"/>
    <w:rsid w:val="6DDE128E"/>
    <w:rsid w:val="6DE3204B"/>
    <w:rsid w:val="6DF56CE1"/>
    <w:rsid w:val="6DFB1E5C"/>
    <w:rsid w:val="6E133E7E"/>
    <w:rsid w:val="6E1868CA"/>
    <w:rsid w:val="6E1B47C4"/>
    <w:rsid w:val="6E2467B9"/>
    <w:rsid w:val="6E272AC5"/>
    <w:rsid w:val="6E2C367B"/>
    <w:rsid w:val="6E357D09"/>
    <w:rsid w:val="6E3E51C8"/>
    <w:rsid w:val="6E4C0070"/>
    <w:rsid w:val="6E5024EC"/>
    <w:rsid w:val="6E580793"/>
    <w:rsid w:val="6E602AF5"/>
    <w:rsid w:val="6E60408E"/>
    <w:rsid w:val="6E613346"/>
    <w:rsid w:val="6E616E54"/>
    <w:rsid w:val="6E6265C1"/>
    <w:rsid w:val="6E633095"/>
    <w:rsid w:val="6E633928"/>
    <w:rsid w:val="6E746DBD"/>
    <w:rsid w:val="6E7D1E02"/>
    <w:rsid w:val="6E7D5097"/>
    <w:rsid w:val="6E815A73"/>
    <w:rsid w:val="6E8D79FF"/>
    <w:rsid w:val="6E8F34C3"/>
    <w:rsid w:val="6E937EAC"/>
    <w:rsid w:val="6E981F20"/>
    <w:rsid w:val="6EA220E7"/>
    <w:rsid w:val="6EA241D1"/>
    <w:rsid w:val="6EA93139"/>
    <w:rsid w:val="6EB52241"/>
    <w:rsid w:val="6EBF394F"/>
    <w:rsid w:val="6EC56CF9"/>
    <w:rsid w:val="6EC60956"/>
    <w:rsid w:val="6EC65C1D"/>
    <w:rsid w:val="6EC806E3"/>
    <w:rsid w:val="6ECB34CE"/>
    <w:rsid w:val="6ECE066E"/>
    <w:rsid w:val="6ED62C3C"/>
    <w:rsid w:val="6ED808AB"/>
    <w:rsid w:val="6EDC6AD2"/>
    <w:rsid w:val="6EDD422E"/>
    <w:rsid w:val="6EDE1FB9"/>
    <w:rsid w:val="6EE568C3"/>
    <w:rsid w:val="6EEE04B2"/>
    <w:rsid w:val="6EF27275"/>
    <w:rsid w:val="6EF622B3"/>
    <w:rsid w:val="6EF74ED8"/>
    <w:rsid w:val="6EFA1E49"/>
    <w:rsid w:val="6EFA7A7C"/>
    <w:rsid w:val="6F177E36"/>
    <w:rsid w:val="6F1E64FF"/>
    <w:rsid w:val="6F1F0C55"/>
    <w:rsid w:val="6F293E5F"/>
    <w:rsid w:val="6F2B4702"/>
    <w:rsid w:val="6F2C44EA"/>
    <w:rsid w:val="6F2D05F8"/>
    <w:rsid w:val="6F2E5F9A"/>
    <w:rsid w:val="6F334E74"/>
    <w:rsid w:val="6F3570B2"/>
    <w:rsid w:val="6F3D60B3"/>
    <w:rsid w:val="6F410103"/>
    <w:rsid w:val="6F487C16"/>
    <w:rsid w:val="6F4B48FC"/>
    <w:rsid w:val="6F4C33A2"/>
    <w:rsid w:val="6F521CA6"/>
    <w:rsid w:val="6F53499B"/>
    <w:rsid w:val="6F572DEB"/>
    <w:rsid w:val="6F5A306B"/>
    <w:rsid w:val="6F610271"/>
    <w:rsid w:val="6F6206AB"/>
    <w:rsid w:val="6F63077F"/>
    <w:rsid w:val="6F7061C7"/>
    <w:rsid w:val="6F732E03"/>
    <w:rsid w:val="6F780E7E"/>
    <w:rsid w:val="6F7F24DB"/>
    <w:rsid w:val="6F88554E"/>
    <w:rsid w:val="6F8917B1"/>
    <w:rsid w:val="6F8F0CF3"/>
    <w:rsid w:val="6F9069AE"/>
    <w:rsid w:val="6F930143"/>
    <w:rsid w:val="6F9F69F3"/>
    <w:rsid w:val="6F9F7F97"/>
    <w:rsid w:val="6FA12A91"/>
    <w:rsid w:val="6FA964F0"/>
    <w:rsid w:val="6FB14A9B"/>
    <w:rsid w:val="6FBF3EE2"/>
    <w:rsid w:val="6FC079E2"/>
    <w:rsid w:val="6FCC1145"/>
    <w:rsid w:val="6FCD5592"/>
    <w:rsid w:val="6FCE272C"/>
    <w:rsid w:val="6FE50153"/>
    <w:rsid w:val="6FFA6122"/>
    <w:rsid w:val="700138F6"/>
    <w:rsid w:val="70016EDD"/>
    <w:rsid w:val="70044F87"/>
    <w:rsid w:val="700477CF"/>
    <w:rsid w:val="70075F45"/>
    <w:rsid w:val="70080D25"/>
    <w:rsid w:val="700D574B"/>
    <w:rsid w:val="70153240"/>
    <w:rsid w:val="701C7B98"/>
    <w:rsid w:val="701F17FB"/>
    <w:rsid w:val="70206DFF"/>
    <w:rsid w:val="70273C2E"/>
    <w:rsid w:val="70292A9A"/>
    <w:rsid w:val="702A69D2"/>
    <w:rsid w:val="7036340F"/>
    <w:rsid w:val="70367532"/>
    <w:rsid w:val="703B7E84"/>
    <w:rsid w:val="704225C5"/>
    <w:rsid w:val="704830B5"/>
    <w:rsid w:val="70530E5D"/>
    <w:rsid w:val="705A2F74"/>
    <w:rsid w:val="705E436C"/>
    <w:rsid w:val="705F4DBA"/>
    <w:rsid w:val="7063613D"/>
    <w:rsid w:val="706B5678"/>
    <w:rsid w:val="70741729"/>
    <w:rsid w:val="707B16D6"/>
    <w:rsid w:val="707D574F"/>
    <w:rsid w:val="70815E9A"/>
    <w:rsid w:val="70904FEB"/>
    <w:rsid w:val="709D02B9"/>
    <w:rsid w:val="70AB5F4A"/>
    <w:rsid w:val="70B058D2"/>
    <w:rsid w:val="70B72499"/>
    <w:rsid w:val="70BC5C01"/>
    <w:rsid w:val="70CB03CD"/>
    <w:rsid w:val="70E242C6"/>
    <w:rsid w:val="70E652F3"/>
    <w:rsid w:val="70F10447"/>
    <w:rsid w:val="70FC106D"/>
    <w:rsid w:val="70FF2F22"/>
    <w:rsid w:val="710778B6"/>
    <w:rsid w:val="7117150D"/>
    <w:rsid w:val="712362B2"/>
    <w:rsid w:val="713560A2"/>
    <w:rsid w:val="71373A8D"/>
    <w:rsid w:val="71374662"/>
    <w:rsid w:val="7140026E"/>
    <w:rsid w:val="71412B9B"/>
    <w:rsid w:val="71462012"/>
    <w:rsid w:val="71477E02"/>
    <w:rsid w:val="71494F5A"/>
    <w:rsid w:val="715129E7"/>
    <w:rsid w:val="71585DD5"/>
    <w:rsid w:val="715A4BCA"/>
    <w:rsid w:val="71636ABC"/>
    <w:rsid w:val="7169423D"/>
    <w:rsid w:val="71707B84"/>
    <w:rsid w:val="71761D2C"/>
    <w:rsid w:val="717A3101"/>
    <w:rsid w:val="718F7F98"/>
    <w:rsid w:val="71925F75"/>
    <w:rsid w:val="7199264A"/>
    <w:rsid w:val="71A420B2"/>
    <w:rsid w:val="71A60B15"/>
    <w:rsid w:val="71B15EBA"/>
    <w:rsid w:val="71B646FF"/>
    <w:rsid w:val="71B7056C"/>
    <w:rsid w:val="71B834D3"/>
    <w:rsid w:val="71B97CD4"/>
    <w:rsid w:val="71BA4E88"/>
    <w:rsid w:val="71BF60FE"/>
    <w:rsid w:val="71CB213C"/>
    <w:rsid w:val="71CD7FFF"/>
    <w:rsid w:val="71CF391A"/>
    <w:rsid w:val="71CF4311"/>
    <w:rsid w:val="71D27724"/>
    <w:rsid w:val="71DC2562"/>
    <w:rsid w:val="71DE58F9"/>
    <w:rsid w:val="71EC1FEF"/>
    <w:rsid w:val="71F1337F"/>
    <w:rsid w:val="71F73FB1"/>
    <w:rsid w:val="71F91019"/>
    <w:rsid w:val="7203555F"/>
    <w:rsid w:val="720E1842"/>
    <w:rsid w:val="72132199"/>
    <w:rsid w:val="72205CA1"/>
    <w:rsid w:val="722C0280"/>
    <w:rsid w:val="722E279E"/>
    <w:rsid w:val="72333D14"/>
    <w:rsid w:val="72340DCD"/>
    <w:rsid w:val="723B2BC1"/>
    <w:rsid w:val="7242741C"/>
    <w:rsid w:val="7243409E"/>
    <w:rsid w:val="72444578"/>
    <w:rsid w:val="724948ED"/>
    <w:rsid w:val="724B1E29"/>
    <w:rsid w:val="725A1B79"/>
    <w:rsid w:val="725C63AA"/>
    <w:rsid w:val="72627BB3"/>
    <w:rsid w:val="72641346"/>
    <w:rsid w:val="726E0EA0"/>
    <w:rsid w:val="727954D5"/>
    <w:rsid w:val="72846FD4"/>
    <w:rsid w:val="728C745F"/>
    <w:rsid w:val="728F1A0A"/>
    <w:rsid w:val="72932449"/>
    <w:rsid w:val="72971A72"/>
    <w:rsid w:val="72A079A6"/>
    <w:rsid w:val="72A54B58"/>
    <w:rsid w:val="72B12034"/>
    <w:rsid w:val="72B148CE"/>
    <w:rsid w:val="72B935CB"/>
    <w:rsid w:val="72BA1E2C"/>
    <w:rsid w:val="72C62912"/>
    <w:rsid w:val="72D95766"/>
    <w:rsid w:val="72DA3E66"/>
    <w:rsid w:val="72DF522C"/>
    <w:rsid w:val="72E25814"/>
    <w:rsid w:val="72E81C36"/>
    <w:rsid w:val="72F26EEF"/>
    <w:rsid w:val="72FD3C26"/>
    <w:rsid w:val="731D22AD"/>
    <w:rsid w:val="731D4620"/>
    <w:rsid w:val="73256FD5"/>
    <w:rsid w:val="733161D9"/>
    <w:rsid w:val="7333124D"/>
    <w:rsid w:val="73355431"/>
    <w:rsid w:val="733763E7"/>
    <w:rsid w:val="733821F9"/>
    <w:rsid w:val="73472D65"/>
    <w:rsid w:val="734740D7"/>
    <w:rsid w:val="734D2347"/>
    <w:rsid w:val="735338CB"/>
    <w:rsid w:val="73577E4B"/>
    <w:rsid w:val="736D01AE"/>
    <w:rsid w:val="73787245"/>
    <w:rsid w:val="737D7468"/>
    <w:rsid w:val="7380056A"/>
    <w:rsid w:val="73814ABE"/>
    <w:rsid w:val="73816EE5"/>
    <w:rsid w:val="73833B99"/>
    <w:rsid w:val="73925A23"/>
    <w:rsid w:val="739512D6"/>
    <w:rsid w:val="73970658"/>
    <w:rsid w:val="73A4120A"/>
    <w:rsid w:val="73A74CDD"/>
    <w:rsid w:val="73A878AD"/>
    <w:rsid w:val="73A87EE5"/>
    <w:rsid w:val="73B12B65"/>
    <w:rsid w:val="73B54F47"/>
    <w:rsid w:val="73C00CD6"/>
    <w:rsid w:val="73C01267"/>
    <w:rsid w:val="73C72255"/>
    <w:rsid w:val="73CE4CEE"/>
    <w:rsid w:val="73D07139"/>
    <w:rsid w:val="73D142F5"/>
    <w:rsid w:val="73D22C70"/>
    <w:rsid w:val="73DF00B9"/>
    <w:rsid w:val="73E40FE9"/>
    <w:rsid w:val="73E530B9"/>
    <w:rsid w:val="73F7380F"/>
    <w:rsid w:val="73F77E3B"/>
    <w:rsid w:val="73F85FA6"/>
    <w:rsid w:val="73FB6BD9"/>
    <w:rsid w:val="74036AC0"/>
    <w:rsid w:val="74063F9B"/>
    <w:rsid w:val="74093BE9"/>
    <w:rsid w:val="740A5120"/>
    <w:rsid w:val="740E0F7E"/>
    <w:rsid w:val="74130F0E"/>
    <w:rsid w:val="74264E51"/>
    <w:rsid w:val="7431126A"/>
    <w:rsid w:val="74345EFA"/>
    <w:rsid w:val="7435209B"/>
    <w:rsid w:val="743811E9"/>
    <w:rsid w:val="7448027C"/>
    <w:rsid w:val="746744C7"/>
    <w:rsid w:val="747E226C"/>
    <w:rsid w:val="747E3E82"/>
    <w:rsid w:val="747F7784"/>
    <w:rsid w:val="7482023B"/>
    <w:rsid w:val="74865558"/>
    <w:rsid w:val="749127B7"/>
    <w:rsid w:val="74931F36"/>
    <w:rsid w:val="749445DB"/>
    <w:rsid w:val="74963AC2"/>
    <w:rsid w:val="74964CEC"/>
    <w:rsid w:val="749D1AC0"/>
    <w:rsid w:val="749D4633"/>
    <w:rsid w:val="749F0BED"/>
    <w:rsid w:val="749F6464"/>
    <w:rsid w:val="74A82EB3"/>
    <w:rsid w:val="74AD2869"/>
    <w:rsid w:val="74AE60B4"/>
    <w:rsid w:val="74B02F5F"/>
    <w:rsid w:val="74B95B94"/>
    <w:rsid w:val="74CA3D93"/>
    <w:rsid w:val="74D17957"/>
    <w:rsid w:val="74D24CD4"/>
    <w:rsid w:val="74E36E8E"/>
    <w:rsid w:val="74E46B01"/>
    <w:rsid w:val="74EC6050"/>
    <w:rsid w:val="74F6681B"/>
    <w:rsid w:val="74F95302"/>
    <w:rsid w:val="74FD7186"/>
    <w:rsid w:val="74FF4687"/>
    <w:rsid w:val="75014C49"/>
    <w:rsid w:val="750410B7"/>
    <w:rsid w:val="750411B3"/>
    <w:rsid w:val="750507B2"/>
    <w:rsid w:val="751A3AA7"/>
    <w:rsid w:val="751C7630"/>
    <w:rsid w:val="75203800"/>
    <w:rsid w:val="75225EB8"/>
    <w:rsid w:val="753D11F9"/>
    <w:rsid w:val="7543652F"/>
    <w:rsid w:val="754D1AC5"/>
    <w:rsid w:val="754E4EC7"/>
    <w:rsid w:val="75504C0A"/>
    <w:rsid w:val="755F4315"/>
    <w:rsid w:val="75601C40"/>
    <w:rsid w:val="75665780"/>
    <w:rsid w:val="757441A3"/>
    <w:rsid w:val="757A7208"/>
    <w:rsid w:val="757B57C0"/>
    <w:rsid w:val="757F125F"/>
    <w:rsid w:val="759D5389"/>
    <w:rsid w:val="759F1B3E"/>
    <w:rsid w:val="75A03DDA"/>
    <w:rsid w:val="75A70642"/>
    <w:rsid w:val="75AD2350"/>
    <w:rsid w:val="75BF7945"/>
    <w:rsid w:val="75C24D3B"/>
    <w:rsid w:val="75C8042A"/>
    <w:rsid w:val="75C847AB"/>
    <w:rsid w:val="75D07E41"/>
    <w:rsid w:val="75D12022"/>
    <w:rsid w:val="75D978E0"/>
    <w:rsid w:val="75DC75D7"/>
    <w:rsid w:val="75DD21D3"/>
    <w:rsid w:val="75F6581D"/>
    <w:rsid w:val="75F97D06"/>
    <w:rsid w:val="760303E3"/>
    <w:rsid w:val="7605308B"/>
    <w:rsid w:val="760D53AD"/>
    <w:rsid w:val="76141ED7"/>
    <w:rsid w:val="76163BA9"/>
    <w:rsid w:val="761A30A7"/>
    <w:rsid w:val="761B567A"/>
    <w:rsid w:val="761D4C54"/>
    <w:rsid w:val="76207F34"/>
    <w:rsid w:val="76243C87"/>
    <w:rsid w:val="762C07CE"/>
    <w:rsid w:val="76317AAE"/>
    <w:rsid w:val="763358F4"/>
    <w:rsid w:val="76346953"/>
    <w:rsid w:val="763A0245"/>
    <w:rsid w:val="763C0685"/>
    <w:rsid w:val="764B1E90"/>
    <w:rsid w:val="765B3EDB"/>
    <w:rsid w:val="765E0628"/>
    <w:rsid w:val="7661524C"/>
    <w:rsid w:val="766226D5"/>
    <w:rsid w:val="7677711B"/>
    <w:rsid w:val="76812BC3"/>
    <w:rsid w:val="768726CB"/>
    <w:rsid w:val="769410B8"/>
    <w:rsid w:val="76A273D7"/>
    <w:rsid w:val="76A32407"/>
    <w:rsid w:val="76AA6618"/>
    <w:rsid w:val="76AD311D"/>
    <w:rsid w:val="76B01456"/>
    <w:rsid w:val="76B5194E"/>
    <w:rsid w:val="76B6241E"/>
    <w:rsid w:val="76BE77CF"/>
    <w:rsid w:val="76C051E4"/>
    <w:rsid w:val="76C2339D"/>
    <w:rsid w:val="76C707CB"/>
    <w:rsid w:val="76D56971"/>
    <w:rsid w:val="76E21881"/>
    <w:rsid w:val="76E2593D"/>
    <w:rsid w:val="76E432C7"/>
    <w:rsid w:val="76F714A7"/>
    <w:rsid w:val="76F82A70"/>
    <w:rsid w:val="76FB1078"/>
    <w:rsid w:val="77097A03"/>
    <w:rsid w:val="770A6323"/>
    <w:rsid w:val="770B580E"/>
    <w:rsid w:val="7713141F"/>
    <w:rsid w:val="77145F38"/>
    <w:rsid w:val="772300B9"/>
    <w:rsid w:val="77352AF3"/>
    <w:rsid w:val="773E5B5F"/>
    <w:rsid w:val="774034F7"/>
    <w:rsid w:val="77441413"/>
    <w:rsid w:val="77474FFC"/>
    <w:rsid w:val="774C7466"/>
    <w:rsid w:val="774E5E36"/>
    <w:rsid w:val="7755103A"/>
    <w:rsid w:val="77571C3E"/>
    <w:rsid w:val="775A1EF7"/>
    <w:rsid w:val="775A5AE3"/>
    <w:rsid w:val="775F69AC"/>
    <w:rsid w:val="77620D19"/>
    <w:rsid w:val="776D2551"/>
    <w:rsid w:val="77751F6A"/>
    <w:rsid w:val="7777714D"/>
    <w:rsid w:val="778071B7"/>
    <w:rsid w:val="77812BFD"/>
    <w:rsid w:val="778F7143"/>
    <w:rsid w:val="779229A2"/>
    <w:rsid w:val="779517BE"/>
    <w:rsid w:val="779D64D9"/>
    <w:rsid w:val="77A1286D"/>
    <w:rsid w:val="77A44B2F"/>
    <w:rsid w:val="77A5331E"/>
    <w:rsid w:val="77A715A3"/>
    <w:rsid w:val="77B346BD"/>
    <w:rsid w:val="77B56353"/>
    <w:rsid w:val="77BA2985"/>
    <w:rsid w:val="77BB4A84"/>
    <w:rsid w:val="77CF2394"/>
    <w:rsid w:val="77CF693E"/>
    <w:rsid w:val="77E717C2"/>
    <w:rsid w:val="77EF2563"/>
    <w:rsid w:val="780906D9"/>
    <w:rsid w:val="781015ED"/>
    <w:rsid w:val="78103C46"/>
    <w:rsid w:val="78113A65"/>
    <w:rsid w:val="78141105"/>
    <w:rsid w:val="78144001"/>
    <w:rsid w:val="781F0AE7"/>
    <w:rsid w:val="782B6BF7"/>
    <w:rsid w:val="782E3F05"/>
    <w:rsid w:val="78300343"/>
    <w:rsid w:val="78322489"/>
    <w:rsid w:val="783310A3"/>
    <w:rsid w:val="78365849"/>
    <w:rsid w:val="78383A38"/>
    <w:rsid w:val="783A70D7"/>
    <w:rsid w:val="78417BA2"/>
    <w:rsid w:val="784854DC"/>
    <w:rsid w:val="78537715"/>
    <w:rsid w:val="7854277A"/>
    <w:rsid w:val="785C75D7"/>
    <w:rsid w:val="78705E26"/>
    <w:rsid w:val="787255A3"/>
    <w:rsid w:val="78731811"/>
    <w:rsid w:val="78751E5B"/>
    <w:rsid w:val="788449FB"/>
    <w:rsid w:val="788906C2"/>
    <w:rsid w:val="789A515D"/>
    <w:rsid w:val="78A820EB"/>
    <w:rsid w:val="78AA60A3"/>
    <w:rsid w:val="78C14911"/>
    <w:rsid w:val="78C54A98"/>
    <w:rsid w:val="78CA184A"/>
    <w:rsid w:val="78CF4AB8"/>
    <w:rsid w:val="78D12468"/>
    <w:rsid w:val="78D24530"/>
    <w:rsid w:val="78D34590"/>
    <w:rsid w:val="78D41C2D"/>
    <w:rsid w:val="78D640EB"/>
    <w:rsid w:val="78D96EBA"/>
    <w:rsid w:val="78F06926"/>
    <w:rsid w:val="78F87F72"/>
    <w:rsid w:val="78F918AC"/>
    <w:rsid w:val="78FA0364"/>
    <w:rsid w:val="78FA556C"/>
    <w:rsid w:val="78FE449A"/>
    <w:rsid w:val="79070B2F"/>
    <w:rsid w:val="79085478"/>
    <w:rsid w:val="790A3D44"/>
    <w:rsid w:val="791B45DC"/>
    <w:rsid w:val="793A6A5B"/>
    <w:rsid w:val="793E4C08"/>
    <w:rsid w:val="794234A2"/>
    <w:rsid w:val="79513200"/>
    <w:rsid w:val="79617EB2"/>
    <w:rsid w:val="79680A9E"/>
    <w:rsid w:val="797D01B3"/>
    <w:rsid w:val="79881F5D"/>
    <w:rsid w:val="798B0D4C"/>
    <w:rsid w:val="79997E74"/>
    <w:rsid w:val="79AC02FD"/>
    <w:rsid w:val="79B12F67"/>
    <w:rsid w:val="79B722F1"/>
    <w:rsid w:val="79BE7600"/>
    <w:rsid w:val="79CD4B75"/>
    <w:rsid w:val="79D32412"/>
    <w:rsid w:val="79D369FE"/>
    <w:rsid w:val="79D46BE9"/>
    <w:rsid w:val="79E672C5"/>
    <w:rsid w:val="79F17D47"/>
    <w:rsid w:val="79F26B61"/>
    <w:rsid w:val="79F41F6C"/>
    <w:rsid w:val="7A073FAF"/>
    <w:rsid w:val="7A095B36"/>
    <w:rsid w:val="7A1D285B"/>
    <w:rsid w:val="7A1F0D62"/>
    <w:rsid w:val="7A21789C"/>
    <w:rsid w:val="7A222085"/>
    <w:rsid w:val="7A270FB1"/>
    <w:rsid w:val="7A30359F"/>
    <w:rsid w:val="7A4662A4"/>
    <w:rsid w:val="7A467ABD"/>
    <w:rsid w:val="7A493775"/>
    <w:rsid w:val="7A4D4ADB"/>
    <w:rsid w:val="7A531098"/>
    <w:rsid w:val="7A590080"/>
    <w:rsid w:val="7A591C40"/>
    <w:rsid w:val="7A64610E"/>
    <w:rsid w:val="7A6A24A0"/>
    <w:rsid w:val="7A6D778C"/>
    <w:rsid w:val="7A7123AE"/>
    <w:rsid w:val="7A785B1C"/>
    <w:rsid w:val="7A785B22"/>
    <w:rsid w:val="7A846C24"/>
    <w:rsid w:val="7A85457B"/>
    <w:rsid w:val="7A8C7238"/>
    <w:rsid w:val="7A905341"/>
    <w:rsid w:val="7A927CE9"/>
    <w:rsid w:val="7A9442AA"/>
    <w:rsid w:val="7A957E59"/>
    <w:rsid w:val="7A9645B9"/>
    <w:rsid w:val="7A984525"/>
    <w:rsid w:val="7A9D5358"/>
    <w:rsid w:val="7AA51448"/>
    <w:rsid w:val="7AA52C83"/>
    <w:rsid w:val="7AA8053E"/>
    <w:rsid w:val="7AB019FD"/>
    <w:rsid w:val="7AB21668"/>
    <w:rsid w:val="7AC3021E"/>
    <w:rsid w:val="7AC426EC"/>
    <w:rsid w:val="7ACB2710"/>
    <w:rsid w:val="7ACE3964"/>
    <w:rsid w:val="7AD00683"/>
    <w:rsid w:val="7AD55381"/>
    <w:rsid w:val="7AD855CC"/>
    <w:rsid w:val="7ADC120A"/>
    <w:rsid w:val="7AE919EA"/>
    <w:rsid w:val="7AEC579B"/>
    <w:rsid w:val="7AF618C3"/>
    <w:rsid w:val="7AFC7E67"/>
    <w:rsid w:val="7AFE41D2"/>
    <w:rsid w:val="7B030977"/>
    <w:rsid w:val="7B097A45"/>
    <w:rsid w:val="7B135E36"/>
    <w:rsid w:val="7B220D56"/>
    <w:rsid w:val="7B27261A"/>
    <w:rsid w:val="7B2C712B"/>
    <w:rsid w:val="7B3154E4"/>
    <w:rsid w:val="7B401C89"/>
    <w:rsid w:val="7B421322"/>
    <w:rsid w:val="7B437FA0"/>
    <w:rsid w:val="7B495402"/>
    <w:rsid w:val="7B55622D"/>
    <w:rsid w:val="7B5D4CDD"/>
    <w:rsid w:val="7B615EF1"/>
    <w:rsid w:val="7B657285"/>
    <w:rsid w:val="7B6572CA"/>
    <w:rsid w:val="7B6E3B59"/>
    <w:rsid w:val="7B6F2F1F"/>
    <w:rsid w:val="7B7109C3"/>
    <w:rsid w:val="7B774400"/>
    <w:rsid w:val="7B7800ED"/>
    <w:rsid w:val="7B7C7A83"/>
    <w:rsid w:val="7B7E0378"/>
    <w:rsid w:val="7B811224"/>
    <w:rsid w:val="7B8408D4"/>
    <w:rsid w:val="7B885EE9"/>
    <w:rsid w:val="7B936928"/>
    <w:rsid w:val="7B994A0F"/>
    <w:rsid w:val="7B9B58F1"/>
    <w:rsid w:val="7BA1337D"/>
    <w:rsid w:val="7BAB7265"/>
    <w:rsid w:val="7BAC7373"/>
    <w:rsid w:val="7BAE7546"/>
    <w:rsid w:val="7BB347D9"/>
    <w:rsid w:val="7BB847E4"/>
    <w:rsid w:val="7BC22161"/>
    <w:rsid w:val="7BC375EF"/>
    <w:rsid w:val="7BC637C3"/>
    <w:rsid w:val="7BCF4190"/>
    <w:rsid w:val="7BD06E69"/>
    <w:rsid w:val="7BD661E1"/>
    <w:rsid w:val="7BD66F7B"/>
    <w:rsid w:val="7BDA6C5A"/>
    <w:rsid w:val="7BE56179"/>
    <w:rsid w:val="7BF37AA7"/>
    <w:rsid w:val="7BFD4D0F"/>
    <w:rsid w:val="7C02516B"/>
    <w:rsid w:val="7C0466FA"/>
    <w:rsid w:val="7C064C95"/>
    <w:rsid w:val="7C145F6A"/>
    <w:rsid w:val="7C150A0D"/>
    <w:rsid w:val="7C15360C"/>
    <w:rsid w:val="7C1556DE"/>
    <w:rsid w:val="7C1D1B49"/>
    <w:rsid w:val="7C201B0C"/>
    <w:rsid w:val="7C3215E9"/>
    <w:rsid w:val="7C434DA1"/>
    <w:rsid w:val="7C54521D"/>
    <w:rsid w:val="7C5D3E51"/>
    <w:rsid w:val="7C5F5ED2"/>
    <w:rsid w:val="7C6D0F99"/>
    <w:rsid w:val="7C756B07"/>
    <w:rsid w:val="7C7734DA"/>
    <w:rsid w:val="7C7E58AC"/>
    <w:rsid w:val="7C7E6CFE"/>
    <w:rsid w:val="7C8360B5"/>
    <w:rsid w:val="7C891918"/>
    <w:rsid w:val="7C8A7134"/>
    <w:rsid w:val="7CA053A2"/>
    <w:rsid w:val="7CA14531"/>
    <w:rsid w:val="7CA15F99"/>
    <w:rsid w:val="7CBA3D2E"/>
    <w:rsid w:val="7CBC34F5"/>
    <w:rsid w:val="7CC24DF3"/>
    <w:rsid w:val="7CC3740F"/>
    <w:rsid w:val="7CC86CF1"/>
    <w:rsid w:val="7CD508AF"/>
    <w:rsid w:val="7CEB3004"/>
    <w:rsid w:val="7CF30E7C"/>
    <w:rsid w:val="7CF978E4"/>
    <w:rsid w:val="7D010596"/>
    <w:rsid w:val="7D026CA6"/>
    <w:rsid w:val="7D116D0F"/>
    <w:rsid w:val="7D167EFD"/>
    <w:rsid w:val="7D205C0D"/>
    <w:rsid w:val="7D250491"/>
    <w:rsid w:val="7D311B35"/>
    <w:rsid w:val="7D315804"/>
    <w:rsid w:val="7D3B138B"/>
    <w:rsid w:val="7D463173"/>
    <w:rsid w:val="7D490F86"/>
    <w:rsid w:val="7D5A6F3D"/>
    <w:rsid w:val="7D5E6FA5"/>
    <w:rsid w:val="7D671047"/>
    <w:rsid w:val="7D67608D"/>
    <w:rsid w:val="7D6924AA"/>
    <w:rsid w:val="7D6C1811"/>
    <w:rsid w:val="7D6F398B"/>
    <w:rsid w:val="7D7A77FD"/>
    <w:rsid w:val="7D947707"/>
    <w:rsid w:val="7D95347E"/>
    <w:rsid w:val="7D9A027A"/>
    <w:rsid w:val="7D9A4C3F"/>
    <w:rsid w:val="7D9D71E7"/>
    <w:rsid w:val="7D9E4FB3"/>
    <w:rsid w:val="7DA04818"/>
    <w:rsid w:val="7DA510E3"/>
    <w:rsid w:val="7DB20B0C"/>
    <w:rsid w:val="7DB5321C"/>
    <w:rsid w:val="7DBB3C6A"/>
    <w:rsid w:val="7DBC102D"/>
    <w:rsid w:val="7DC86D72"/>
    <w:rsid w:val="7DD70241"/>
    <w:rsid w:val="7DE3044F"/>
    <w:rsid w:val="7DE751E4"/>
    <w:rsid w:val="7DE96AC6"/>
    <w:rsid w:val="7DEB0D59"/>
    <w:rsid w:val="7DEB275F"/>
    <w:rsid w:val="7DEB2BB9"/>
    <w:rsid w:val="7DEC0E2F"/>
    <w:rsid w:val="7DF76A98"/>
    <w:rsid w:val="7DFD70C9"/>
    <w:rsid w:val="7E047EBC"/>
    <w:rsid w:val="7E086552"/>
    <w:rsid w:val="7E0E3C00"/>
    <w:rsid w:val="7E17370D"/>
    <w:rsid w:val="7E232257"/>
    <w:rsid w:val="7E25767A"/>
    <w:rsid w:val="7E296335"/>
    <w:rsid w:val="7E2B3F82"/>
    <w:rsid w:val="7E2C246C"/>
    <w:rsid w:val="7E3956F2"/>
    <w:rsid w:val="7E3F474F"/>
    <w:rsid w:val="7E466EE2"/>
    <w:rsid w:val="7E4711AD"/>
    <w:rsid w:val="7E4F470F"/>
    <w:rsid w:val="7E510376"/>
    <w:rsid w:val="7E547BFF"/>
    <w:rsid w:val="7E6C11A9"/>
    <w:rsid w:val="7E736760"/>
    <w:rsid w:val="7E771ABB"/>
    <w:rsid w:val="7E7D1157"/>
    <w:rsid w:val="7E7D622B"/>
    <w:rsid w:val="7E8675A5"/>
    <w:rsid w:val="7E8B4C55"/>
    <w:rsid w:val="7E8E1B64"/>
    <w:rsid w:val="7E9550FF"/>
    <w:rsid w:val="7E9A28B7"/>
    <w:rsid w:val="7EA01E6E"/>
    <w:rsid w:val="7EAA3F98"/>
    <w:rsid w:val="7EAB2E79"/>
    <w:rsid w:val="7EAE6D8C"/>
    <w:rsid w:val="7EB729CA"/>
    <w:rsid w:val="7EBB2D8A"/>
    <w:rsid w:val="7EC14FFA"/>
    <w:rsid w:val="7EC6246F"/>
    <w:rsid w:val="7EC77A1C"/>
    <w:rsid w:val="7ECF0008"/>
    <w:rsid w:val="7ED2624F"/>
    <w:rsid w:val="7ED50E3F"/>
    <w:rsid w:val="7ED979FD"/>
    <w:rsid w:val="7EDA71EF"/>
    <w:rsid w:val="7EE44E9D"/>
    <w:rsid w:val="7EE920ED"/>
    <w:rsid w:val="7EF72741"/>
    <w:rsid w:val="7F0E4044"/>
    <w:rsid w:val="7F12056B"/>
    <w:rsid w:val="7F222CFE"/>
    <w:rsid w:val="7F267B46"/>
    <w:rsid w:val="7F305193"/>
    <w:rsid w:val="7F352838"/>
    <w:rsid w:val="7F364CB9"/>
    <w:rsid w:val="7F3958E7"/>
    <w:rsid w:val="7F4E6788"/>
    <w:rsid w:val="7F4F3D48"/>
    <w:rsid w:val="7F562C1A"/>
    <w:rsid w:val="7F5758B5"/>
    <w:rsid w:val="7F626232"/>
    <w:rsid w:val="7F743D0B"/>
    <w:rsid w:val="7F780891"/>
    <w:rsid w:val="7F88729A"/>
    <w:rsid w:val="7F8D378D"/>
    <w:rsid w:val="7FA01600"/>
    <w:rsid w:val="7FAA17DD"/>
    <w:rsid w:val="7FB030C0"/>
    <w:rsid w:val="7FB15F30"/>
    <w:rsid w:val="7FB74196"/>
    <w:rsid w:val="7FBA6056"/>
    <w:rsid w:val="7FBB63DD"/>
    <w:rsid w:val="7FBF7B9E"/>
    <w:rsid w:val="7FCB73E9"/>
    <w:rsid w:val="7FE146E1"/>
    <w:rsid w:val="7FF13AA3"/>
    <w:rsid w:val="7FF31E6F"/>
    <w:rsid w:val="7FF444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imes New Roman"/>
      <w:sz w:val="22"/>
      <w:szCs w:val="22"/>
      <w:lang w:val="en-US" w:eastAsia="zh-CN" w:bidi="ar-SA"/>
    </w:rPr>
  </w:style>
  <w:style w:type="paragraph" w:styleId="3">
    <w:name w:val="heading 4"/>
    <w:basedOn w:val="1"/>
    <w:next w:val="1"/>
    <w:qFormat/>
    <w:uiPriority w:val="9"/>
    <w:pPr>
      <w:keepNext/>
      <w:keepLines/>
      <w:spacing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Normal Indent"/>
    <w:basedOn w:val="1"/>
    <w:qFormat/>
    <w:uiPriority w:val="0"/>
    <w:pPr>
      <w:ind w:firstLine="420" w:firstLineChars="200"/>
    </w:pPr>
    <w:rPr>
      <w:rFonts w:ascii="宋体" w:hAnsi="宋体"/>
    </w:rPr>
  </w:style>
  <w:style w:type="paragraph" w:styleId="5">
    <w:name w:val="annotation text"/>
    <w:basedOn w:val="1"/>
    <w:qFormat/>
    <w:uiPriority w:val="0"/>
  </w:style>
  <w:style w:type="paragraph" w:styleId="6">
    <w:name w:val="Body Text"/>
    <w:basedOn w:val="1"/>
    <w:qFormat/>
    <w:uiPriority w:val="0"/>
    <w:pPr>
      <w:jc w:val="center"/>
    </w:pPr>
  </w:style>
  <w:style w:type="paragraph" w:styleId="7">
    <w:name w:val="Body Text Indent 2"/>
    <w:basedOn w:val="1"/>
    <w:unhideWhenUsed/>
    <w:qFormat/>
    <w:uiPriority w:val="99"/>
    <w:pPr>
      <w:spacing w:line="400" w:lineRule="exact"/>
      <w:ind w:firstLine="482"/>
    </w:pPr>
    <w:rPr>
      <w:sz w:val="24"/>
    </w:rPr>
  </w:style>
  <w:style w:type="paragraph" w:styleId="8">
    <w:name w:val="Balloon Text"/>
    <w:basedOn w:val="1"/>
    <w:link w:val="25"/>
    <w:qFormat/>
    <w:uiPriority w:val="0"/>
    <w:rPr>
      <w:sz w:val="18"/>
      <w:szCs w:val="18"/>
    </w:rPr>
  </w:style>
  <w:style w:type="paragraph" w:styleId="9">
    <w:name w:val="footer"/>
    <w:basedOn w:val="1"/>
    <w:qFormat/>
    <w:uiPriority w:val="0"/>
    <w:pPr>
      <w:tabs>
        <w:tab w:val="center" w:pos="4153"/>
        <w:tab w:val="right" w:pos="8306"/>
      </w:tabs>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Body Text 2"/>
    <w:basedOn w:val="1"/>
    <w:qFormat/>
    <w:uiPriority w:val="0"/>
    <w:pPr>
      <w:spacing w:after="120" w:line="480" w:lineRule="auto"/>
    </w:p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paragraph" w:customStyle="1" w:styleId="16">
    <w:name w:val="Char Char Char Char Char Char Char Char Char Char Char Char Char Char Char Char Char Char Char Char Char"/>
    <w:basedOn w:val="1"/>
    <w:qFormat/>
    <w:uiPriority w:val="0"/>
  </w:style>
  <w:style w:type="paragraph" w:customStyle="1" w:styleId="17">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18">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19">
    <w:name w:val="G（正文）"/>
    <w:basedOn w:val="6"/>
    <w:qFormat/>
    <w:uiPriority w:val="0"/>
    <w:pPr>
      <w:spacing w:line="480" w:lineRule="exact"/>
      <w:ind w:firstLine="200" w:firstLineChars="200"/>
      <w:jc w:val="both"/>
    </w:pPr>
    <w:rPr>
      <w:sz w:val="28"/>
      <w:szCs w:val="28"/>
    </w:rPr>
  </w:style>
  <w:style w:type="character" w:customStyle="1" w:styleId="20">
    <w:name w:val="fontstyle01"/>
    <w:basedOn w:val="14"/>
    <w:qFormat/>
    <w:uiPriority w:val="0"/>
    <w:rPr>
      <w:rFonts w:hint="eastAsia" w:ascii="宋体" w:hAnsi="宋体" w:eastAsia="宋体"/>
      <w:color w:val="000000"/>
      <w:sz w:val="24"/>
      <w:szCs w:val="24"/>
    </w:rPr>
  </w:style>
  <w:style w:type="character" w:customStyle="1" w:styleId="21">
    <w:name w:val="fontstyle21"/>
    <w:basedOn w:val="14"/>
    <w:qFormat/>
    <w:uiPriority w:val="0"/>
    <w:rPr>
      <w:rFonts w:hint="default" w:ascii="TimesNewRomanPSMT" w:hAnsi="TimesNewRomanPSMT"/>
      <w:color w:val="000000"/>
      <w:sz w:val="24"/>
      <w:szCs w:val="24"/>
    </w:rPr>
  </w:style>
  <w:style w:type="paragraph" w:customStyle="1" w:styleId="22">
    <w:name w:val="正文01"/>
    <w:basedOn w:val="4"/>
    <w:qFormat/>
    <w:uiPriority w:val="0"/>
    <w:pPr>
      <w:spacing w:line="360" w:lineRule="auto"/>
      <w:ind w:firstLine="480"/>
    </w:pPr>
    <w:rPr>
      <w:rFonts w:ascii="Times New Roman" w:hAnsi="Times New Roman"/>
      <w:sz w:val="24"/>
      <w:szCs w:val="20"/>
    </w:rPr>
  </w:style>
  <w:style w:type="paragraph" w:customStyle="1" w:styleId="23">
    <w:name w:val="Table Paragraph"/>
    <w:basedOn w:val="1"/>
    <w:qFormat/>
    <w:uiPriority w:val="1"/>
    <w:rPr>
      <w:rFonts w:ascii="宋体" w:hAnsi="宋体" w:eastAsia="宋体" w:cs="宋体"/>
      <w:lang w:val="zh-CN" w:bidi="zh-CN"/>
    </w:rPr>
  </w:style>
  <w:style w:type="paragraph" w:customStyle="1" w:styleId="24">
    <w:name w:val="表内表"/>
    <w:basedOn w:val="1"/>
    <w:qFormat/>
    <w:uiPriority w:val="0"/>
    <w:pPr>
      <w:jc w:val="center"/>
    </w:pPr>
    <w:rPr>
      <w:rFonts w:eastAsia="仿宋_GB2312"/>
      <w:szCs w:val="20"/>
    </w:rPr>
  </w:style>
  <w:style w:type="character" w:customStyle="1" w:styleId="25">
    <w:name w:val="批注框文本 Char"/>
    <w:basedOn w:val="14"/>
    <w:link w:val="8"/>
    <w:qFormat/>
    <w:uiPriority w:val="0"/>
    <w:rPr>
      <w:rFonts w:ascii="Tahoma" w:hAnsi="Tahoma"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1674</Words>
  <Characters>9545</Characters>
  <Lines>79</Lines>
  <Paragraphs>22</Paragraphs>
  <TotalTime>3</TotalTime>
  <ScaleCrop>false</ScaleCrop>
  <LinksUpToDate>false</LinksUpToDate>
  <CharactersWithSpaces>11197</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2018-09-11T05:42:00Z</dcterms:created>
  <dc:creator>杨金</dc:creator>
  <cp:lastModifiedBy>贵州鑫利源检测：王伟</cp:lastModifiedBy>
  <dcterms:modified xsi:type="dcterms:W3CDTF">2019-10-19T03:44:35Z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